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5CE6" w:rsidRPr="00FF5CE6" w:rsidRDefault="00FF5CE6" w:rsidP="00FF5CE6">
      <w:pPr>
        <w:spacing w:after="0" w:line="240" w:lineRule="auto"/>
        <w:textAlignment w:val="baseline"/>
        <w:rPr>
          <w:rFonts w:ascii="var(--ricos-font-family,unset)" w:eastAsia="Times New Roman" w:hAnsi="var(--ricos-font-family,unset)" w:cs="Times New Roman"/>
          <w:color w:val="000000"/>
          <w:sz w:val="24"/>
          <w:szCs w:val="24"/>
          <w:lang w:eastAsia="sk-SK"/>
        </w:rPr>
      </w:pPr>
    </w:p>
    <w:p w:rsidR="00FF5CE6" w:rsidRPr="00FF5CE6" w:rsidRDefault="00FF5CE6" w:rsidP="00FF5CE6">
      <w:pPr>
        <w:spacing w:line="240" w:lineRule="auto"/>
        <w:textAlignment w:val="baseline"/>
        <w:rPr>
          <w:rFonts w:ascii="var(--ricos-font-family,unset)" w:eastAsia="Times New Roman" w:hAnsi="var(--ricos-font-family,unset)" w:cs="Times New Roman"/>
          <w:color w:val="000000"/>
          <w:sz w:val="24"/>
          <w:szCs w:val="24"/>
          <w:lang w:eastAsia="sk-SK"/>
        </w:rPr>
      </w:pPr>
      <w:r>
        <w:rPr>
          <w:rFonts w:ascii="var(--ricos-font-family,unset)" w:eastAsia="Times New Roman" w:hAnsi="var(--ricos-font-family,unset)" w:cs="Times New Roman"/>
          <w:noProof/>
          <w:color w:val="000000"/>
          <w:sz w:val="24"/>
          <w:szCs w:val="24"/>
          <w:lang w:eastAsia="sk-SK"/>
        </w:rPr>
        <w:drawing>
          <wp:inline distT="0" distB="0" distL="0" distR="0">
            <wp:extent cx="7048500" cy="5286375"/>
            <wp:effectExtent l="19050" t="0" r="0" b="0"/>
            <wp:docPr id="1" name="Obrázok 1" descr="https://static.wixstatic.com/media/bd7f2e_6d84e6c29956405eb6d7db66be370383~mv2.jpg/v1/fill/w_740,h_555,al_c,q_85,usm_0.66_1.00_0.01,enc_auto/bd7f2e_6d84e6c29956405eb6d7db66be370383~mv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atic.wixstatic.com/media/bd7f2e_6d84e6c29956405eb6d7db66be370383~mv2.jpg/v1/fill/w_740,h_555,al_c,q_85,usm_0.66_1.00_0.01,enc_auto/bd7f2e_6d84e6c29956405eb6d7db66be370383~mv2.jpg"/>
                    <pic:cNvPicPr>
                      <a:picLocks noChangeAspect="1" noChangeArrowheads="1"/>
                    </pic:cNvPicPr>
                  </pic:nvPicPr>
                  <pic:blipFill>
                    <a:blip r:embed="rId5" cstate="print"/>
                    <a:srcRect/>
                    <a:stretch>
                      <a:fillRect/>
                    </a:stretch>
                  </pic:blipFill>
                  <pic:spPr bwMode="auto">
                    <a:xfrm>
                      <a:off x="0" y="0"/>
                      <a:ext cx="7048500" cy="5286375"/>
                    </a:xfrm>
                    <a:prstGeom prst="rect">
                      <a:avLst/>
                    </a:prstGeom>
                    <a:noFill/>
                    <a:ln w="9525">
                      <a:noFill/>
                      <a:miter lim="800000"/>
                      <a:headEnd/>
                      <a:tailEnd/>
                    </a:ln>
                  </pic:spPr>
                </pic:pic>
              </a:graphicData>
            </a:graphic>
          </wp:inline>
        </w:drawing>
      </w:r>
    </w:p>
    <w:p w:rsidR="003B549B" w:rsidRPr="00FF5CE6" w:rsidRDefault="003B549B" w:rsidP="003B549B">
      <w:pPr>
        <w:spacing w:after="0" w:line="240" w:lineRule="auto"/>
        <w:textAlignment w:val="baseline"/>
        <w:outlineLvl w:val="0"/>
        <w:rPr>
          <w:rFonts w:ascii="orig_poppins_regular" w:eastAsia="Times New Roman" w:hAnsi="orig_poppins_regular" w:cs="Times New Roman"/>
          <w:b/>
          <w:bCs/>
          <w:color w:val="000000"/>
          <w:kern w:val="36"/>
          <w:sz w:val="48"/>
          <w:szCs w:val="48"/>
          <w:lang w:eastAsia="sk-SK"/>
        </w:rPr>
      </w:pPr>
      <w:r w:rsidRPr="00FF5CE6">
        <w:rPr>
          <w:rFonts w:ascii="orig_poppins_regular" w:eastAsia="Times New Roman" w:hAnsi="orig_poppins_regular" w:cs="Times New Roman"/>
          <w:b/>
          <w:bCs/>
          <w:color w:val="000000"/>
          <w:kern w:val="36"/>
          <w:sz w:val="48"/>
          <w:szCs w:val="48"/>
          <w:lang w:eastAsia="sk-SK"/>
        </w:rPr>
        <w:t>Čo robia v Mondragone inak, že členstvo v družstve je v rodine dôvodom na oslavu?</w:t>
      </w:r>
    </w:p>
    <w:p w:rsidR="00FF5CE6" w:rsidRPr="003B549B" w:rsidRDefault="00FF5CE6" w:rsidP="003B549B">
      <w:pPr>
        <w:spacing w:after="0" w:line="240" w:lineRule="auto"/>
        <w:textAlignment w:val="baseline"/>
        <w:rPr>
          <w:rFonts w:ascii="var(--ricos-font-family,unset)" w:eastAsia="Times New Roman" w:hAnsi="var(--ricos-font-family,unset)" w:cs="Times New Roman"/>
          <w:color w:val="000000"/>
          <w:sz w:val="24"/>
          <w:szCs w:val="24"/>
          <w:lang w:eastAsia="sk-SK"/>
        </w:rPr>
      </w:pPr>
      <w:r w:rsidRPr="00FF5CE6">
        <w:rPr>
          <w:rFonts w:ascii="var(--ricos-font-family,unset)" w:eastAsia="Times New Roman" w:hAnsi="var(--ricos-font-family,unset)" w:cs="Times New Roman"/>
          <w:b/>
          <w:bCs/>
          <w:color w:val="DBA800"/>
          <w:sz w:val="36"/>
          <w:szCs w:val="36"/>
          <w:lang w:eastAsia="sk-SK"/>
        </w:rPr>
        <w:t xml:space="preserve">Je to spoločnosť vlastnená a riadená jeho zamestnancami takým unikátnym spôsobom, že odbory tak ako ich poznáme u nás na Slovensku u nich nemajú miesto. </w:t>
      </w:r>
    </w:p>
    <w:p w:rsidR="00FF5CE6" w:rsidRPr="00FF5CE6" w:rsidRDefault="00FF5CE6" w:rsidP="00FF5CE6">
      <w:pPr>
        <w:spacing w:after="0" w:line="240" w:lineRule="auto"/>
        <w:textAlignment w:val="baseline"/>
        <w:rPr>
          <w:rFonts w:ascii="var(--ricos-font-family,unset)" w:eastAsia="Times New Roman" w:hAnsi="var(--ricos-font-family,unset)" w:cs="Times New Roman"/>
          <w:color w:val="000000"/>
          <w:sz w:val="24"/>
          <w:szCs w:val="24"/>
          <w:lang w:eastAsia="sk-SK"/>
        </w:rPr>
      </w:pPr>
      <w:r w:rsidRPr="00FF5CE6">
        <w:rPr>
          <w:rFonts w:ascii="var(--ricos-font-family,unset)" w:eastAsia="Times New Roman" w:hAnsi="var(--ricos-font-family,unset)" w:cs="Times New Roman"/>
          <w:color w:val="000000"/>
          <w:sz w:val="24"/>
          <w:szCs w:val="24"/>
          <w:bdr w:val="none" w:sz="0" w:space="0" w:color="auto" w:frame="1"/>
          <w:lang w:eastAsia="sk-SK"/>
        </w:rPr>
        <w:br/>
      </w:r>
      <w:r w:rsidRPr="00FF5CE6">
        <w:rPr>
          <w:rFonts w:ascii="var(--ricos-font-family,unset)" w:eastAsia="Times New Roman" w:hAnsi="var(--ricos-font-family,unset)" w:cs="Times New Roman"/>
          <w:color w:val="000000"/>
          <w:sz w:val="24"/>
          <w:szCs w:val="24"/>
          <w:lang w:eastAsia="sk-SK"/>
        </w:rPr>
        <w:t xml:space="preserve">Milí členovia, </w:t>
      </w:r>
    </w:p>
    <w:p w:rsidR="00FF5CE6" w:rsidRPr="00FF5CE6" w:rsidRDefault="00FF5CE6" w:rsidP="00FF5CE6">
      <w:pPr>
        <w:spacing w:after="0" w:line="240" w:lineRule="auto"/>
        <w:textAlignment w:val="baseline"/>
        <w:rPr>
          <w:rFonts w:ascii="var(--ricos-font-family,unset)" w:eastAsia="Times New Roman" w:hAnsi="var(--ricos-font-family,unset)" w:cs="Times New Roman"/>
          <w:color w:val="000000"/>
          <w:sz w:val="24"/>
          <w:szCs w:val="24"/>
          <w:lang w:eastAsia="sk-SK"/>
        </w:rPr>
      </w:pPr>
      <w:r w:rsidRPr="00FF5CE6">
        <w:rPr>
          <w:rFonts w:ascii="var(--ricos-font-family,unset)" w:eastAsia="Times New Roman" w:hAnsi="var(--ricos-font-family,unset)" w:cs="Times New Roman"/>
          <w:color w:val="000000"/>
          <w:sz w:val="24"/>
          <w:szCs w:val="24"/>
          <w:lang w:eastAsia="sk-SK"/>
        </w:rPr>
        <w:t xml:space="preserve">o družstevnej korporácii Mondragon v Španielsku sme v našich novinách písali už niekoľkokrát. Pre nás družstevníkov v TD je vzorom spolupráce obyčajných ľudí, ktorí sa chcú mať lepšie. Je pre nás polárkou, že v dnešnom svete sa dá žiť dôstojne s rešpektom k človeku a k prírode. Mondragon je akýmsi “štátom v štáte” s vlastným sociálnym systémom, ktorý je výnimočný v tom, že je solidárny nie len v rečiach a na papieri, ale hlavne v praxi. Tu sa o solidarite nemusí hovoriť, je zakomponovaná priamo v pravidlách všetkých družstiev, ktoré sú súčasťou tejto korporácie. </w:t>
      </w:r>
    </w:p>
    <w:p w:rsidR="00FF5CE6" w:rsidRPr="00FF5CE6" w:rsidRDefault="00FF5CE6" w:rsidP="00FF5CE6">
      <w:pPr>
        <w:spacing w:after="0" w:line="240" w:lineRule="auto"/>
        <w:textAlignment w:val="baseline"/>
        <w:rPr>
          <w:rFonts w:ascii="var(--ricos-font-family,unset)" w:eastAsia="Times New Roman" w:hAnsi="var(--ricos-font-family,unset)" w:cs="Times New Roman"/>
          <w:color w:val="000000"/>
          <w:sz w:val="24"/>
          <w:szCs w:val="24"/>
          <w:lang w:eastAsia="sk-SK"/>
        </w:rPr>
      </w:pPr>
      <w:r w:rsidRPr="00FF5CE6">
        <w:rPr>
          <w:rFonts w:ascii="var(--ricos-font-family,unset)" w:eastAsia="Times New Roman" w:hAnsi="var(--ricos-font-family,unset)" w:cs="Times New Roman"/>
          <w:color w:val="000000"/>
          <w:sz w:val="24"/>
          <w:szCs w:val="24"/>
          <w:lang w:eastAsia="sk-SK"/>
        </w:rPr>
        <w:lastRenderedPageBreak/>
        <w:t xml:space="preserve">V júli prebehlo na FB veľmi inšpirujúce online stretnutie s jedným zo spoluvlastníkov Mondragonu pánom Anderom Etxeberria Otaduiom, v ktorom sa účastníci mohli dozvedieť základné informácie o spoločnosti, ako funguje a prečo je taká úspešná. Prinášame vám zopár zaujímavostí z tohto stretnutia, ktoré odlišujú Mondragon od bežných firiem. </w:t>
      </w:r>
    </w:p>
    <w:p w:rsidR="00FF5CE6" w:rsidRPr="00FF5CE6" w:rsidRDefault="00FF5CE6" w:rsidP="00FF5CE6">
      <w:pPr>
        <w:spacing w:after="0" w:line="240" w:lineRule="auto"/>
        <w:textAlignment w:val="baseline"/>
        <w:rPr>
          <w:rFonts w:ascii="var(--ricos-font-family,unset)" w:eastAsia="Times New Roman" w:hAnsi="var(--ricos-font-family,unset)" w:cs="Times New Roman"/>
          <w:color w:val="000000"/>
          <w:sz w:val="24"/>
          <w:szCs w:val="24"/>
          <w:lang w:eastAsia="sk-SK"/>
        </w:rPr>
      </w:pPr>
      <w:r w:rsidRPr="00FF5CE6">
        <w:rPr>
          <w:rFonts w:ascii="var(--ricos-font-family,unset)" w:eastAsia="Times New Roman" w:hAnsi="var(--ricos-font-family,unset)" w:cs="Times New Roman"/>
          <w:color w:val="000000"/>
          <w:sz w:val="24"/>
          <w:szCs w:val="24"/>
          <w:lang w:eastAsia="sk-SK"/>
        </w:rPr>
        <w:t xml:space="preserve">Je to spoločnosť vlastnená a riadená jeho zamestnancami takým unikátnym spôsobom, že odbory tak ako ich poznáme u nás na Slovensku u nich nemajú miesto. Možno je to práve preto, že všetci sú spoluvlastníci a všetci do jedného sú zodpovední za prijaté rozhodnutia a berú na seba riziko. Či už je to voľba svojho manažéra, alebo smerovania družstva. Podľa p.Andera odbory v Mondragone nemajú žiaden zmysel. Členovia majú vlastný sociálny systém </w:t>
      </w:r>
    </w:p>
    <w:p w:rsidR="00FF5CE6" w:rsidRPr="00FF5CE6" w:rsidRDefault="00FF5CE6" w:rsidP="00FF5CE6">
      <w:pPr>
        <w:spacing w:after="0" w:line="240" w:lineRule="auto"/>
        <w:textAlignment w:val="baseline"/>
        <w:rPr>
          <w:rFonts w:ascii="var(--ricos-font-family,unset)" w:eastAsia="Times New Roman" w:hAnsi="var(--ricos-font-family,unset)" w:cs="Times New Roman"/>
          <w:color w:val="000000"/>
          <w:sz w:val="24"/>
          <w:szCs w:val="24"/>
          <w:lang w:eastAsia="sk-SK"/>
        </w:rPr>
      </w:pPr>
      <w:r w:rsidRPr="00FF5CE6">
        <w:rPr>
          <w:rFonts w:ascii="var(--ricos-font-family,unset)" w:eastAsia="Times New Roman" w:hAnsi="var(--ricos-font-family,unset)" w:cs="Times New Roman"/>
          <w:color w:val="000000"/>
          <w:sz w:val="24"/>
          <w:szCs w:val="24"/>
          <w:lang w:eastAsia="sk-SK"/>
        </w:rPr>
        <w:t xml:space="preserve">a právo na prácu je zakomponované priamo v pravidlách, preto každý kto chce pracovať a vzdelávať sa, má prácu zaručenú a dôstojný dôchodok istý. Napríklad, ak nejaké družstvo má problém a musí znížiť pracovné miesta, zamestnanci majú právo sa zamestnať v inom družstve, majú právo sa preškoliť na iné pracovné miesto a v najhoršom prípade ak sa im práca nenájde, majú nárok na 2 roky podpory v nezamestnanosti. V histórii Mondragonu sa však nikdy nestalo, aby niekto poberal 2 roky túto podporu. Nezamestnanosť je v tejto oblasti preto najnižšia. Všetci majú oproti ostatným zamestnancom v Španielsku relatívne dobré platy a nemajú najmenší dôvod odchádzať z bezpečného prostredia družstva. Ľudia tu pracujú radi, lebo robiť v spoločnosti spokojných kolegov, ktorí prichádzajú do práce usmievaví je niečo, čo si praje snáď každý… </w:t>
      </w:r>
    </w:p>
    <w:p w:rsidR="00FF5CE6" w:rsidRPr="00FF5CE6" w:rsidRDefault="00FF5CE6" w:rsidP="00FF5CE6">
      <w:pPr>
        <w:spacing w:after="0" w:line="240" w:lineRule="auto"/>
        <w:textAlignment w:val="baseline"/>
        <w:rPr>
          <w:rFonts w:ascii="var(--ricos-font-family,unset)" w:eastAsia="Times New Roman" w:hAnsi="var(--ricos-font-family,unset)" w:cs="Times New Roman"/>
          <w:color w:val="000000"/>
          <w:sz w:val="24"/>
          <w:szCs w:val="24"/>
          <w:lang w:eastAsia="sk-SK"/>
        </w:rPr>
      </w:pPr>
      <w:r w:rsidRPr="00FF5CE6">
        <w:rPr>
          <w:rFonts w:ascii="var(--ricos-font-family,unset)" w:eastAsia="Times New Roman" w:hAnsi="var(--ricos-font-family,unset)" w:cs="Times New Roman"/>
          <w:color w:val="000000"/>
          <w:sz w:val="24"/>
          <w:szCs w:val="24"/>
          <w:lang w:eastAsia="sk-SK"/>
        </w:rPr>
        <w:t>Obdivuhodná je aj skutočnosť, že 82 000 zamestnancov vo vyše 90-tich družstvách je riadených len 60-timi manažérmi. Rozdiel v platoch medzi najmenej a najviac zarábajúcim zamestnancom je maximálne 6-násobok. Aj výšku platov si schvaľujú členovia na členskej schôdzi tak, že určia najnižšiu jednotku a od nej sa potom odvíjajú násobky platov ostatných zamestnancov. Svojich manažérov si vyberajú, navrhujú a volia sami zo svojich radov. Ak sa im niekto zdá šikovný a má chuť a energiu, ale nemá potrebné zručnosti, či vedomosti aby sa stal členom ich Riadiacej Rady (pozn. obdoba nášho predstavenstva), neváhajú ho poslať do vlastného tréningového centra, kde získa potrebné vedomosti na riadenie. Manažéri, spoločne s členmi predstavenstva a všetkými zamestnancami sa správajú zodpovedne, lebo riziko za chyby znášajú všetci. Majú svoje vlastné kontrolné mechanizmy, monitorujú činnosť každého družstva, aby bolo efektívne.</w:t>
      </w:r>
    </w:p>
    <w:p w:rsidR="00FF5CE6" w:rsidRPr="00FF5CE6" w:rsidRDefault="00FF5CE6" w:rsidP="00FF5CE6">
      <w:pPr>
        <w:spacing w:after="0" w:line="240" w:lineRule="auto"/>
        <w:textAlignment w:val="baseline"/>
        <w:rPr>
          <w:rFonts w:ascii="var(--ricos-font-family,unset)" w:eastAsia="Times New Roman" w:hAnsi="var(--ricos-font-family,unset)" w:cs="Times New Roman"/>
          <w:color w:val="000000"/>
          <w:sz w:val="24"/>
          <w:szCs w:val="24"/>
          <w:lang w:eastAsia="sk-SK"/>
        </w:rPr>
      </w:pPr>
      <w:r w:rsidRPr="00FF5CE6">
        <w:rPr>
          <w:rFonts w:ascii="var(--ricos-font-family,unset)" w:eastAsia="Times New Roman" w:hAnsi="var(--ricos-font-family,unset)" w:cs="Times New Roman"/>
          <w:color w:val="000000"/>
          <w:sz w:val="24"/>
          <w:szCs w:val="24"/>
          <w:lang w:eastAsia="sk-SK"/>
        </w:rPr>
        <w:t>Ak sa niekto chce stať členom, musí zaplatiť poplatok 16.000 eur. V rodine je to dôvod na oslavu, lebo byť členom družstva je znakom, že bude mať isté zamestnanie do konca života a že družstvo sa o neho postará. Aj rodičia radi podporia svoje dieťa, aby sa stalo členom družstva, pretože to znamená, že bude mať zabezpečenú prácu, možnosť rásť kariérne do konca svojho života a zostane pri nich… neodíde napríklad do zahraničia. Sympatické je aj to, že ak sa niekto stane členom družstva, je to v celej rodine dôvod na oslavu, pretože stať sa členom družstva je vnímané ako niečo výnimočné.</w:t>
      </w:r>
    </w:p>
    <w:p w:rsidR="00FF5CE6" w:rsidRPr="00FF5CE6" w:rsidRDefault="00FF5CE6" w:rsidP="00FF5CE6">
      <w:pPr>
        <w:spacing w:after="0" w:line="240" w:lineRule="auto"/>
        <w:textAlignment w:val="baseline"/>
        <w:rPr>
          <w:rFonts w:ascii="var(--ricos-font-family,unset)" w:eastAsia="Times New Roman" w:hAnsi="var(--ricos-font-family,unset)" w:cs="Times New Roman"/>
          <w:color w:val="000000"/>
          <w:sz w:val="24"/>
          <w:szCs w:val="24"/>
          <w:lang w:eastAsia="sk-SK"/>
        </w:rPr>
      </w:pPr>
      <w:r w:rsidRPr="00FF5CE6">
        <w:rPr>
          <w:rFonts w:ascii="var(--ricos-font-family,unset)" w:eastAsia="Times New Roman" w:hAnsi="var(--ricos-font-family,unset)" w:cs="Times New Roman"/>
          <w:color w:val="000000"/>
          <w:sz w:val="24"/>
          <w:szCs w:val="24"/>
          <w:lang w:eastAsia="sk-SK"/>
        </w:rPr>
        <w:t xml:space="preserve">Ďalšia zo zaujímavých skutočností v družstve Mondragon je aj tá, ako členovia vnímajú svoje vklady. Základný členský vklad ako som spomínala je 16 000 eur. Ten sa môže z roka na rok meniť, podľa situácie v družstve. Vstupujúci člen ho nemusí zaplatiť naraz, ale postupne ho spláca zo mzdy. Časť vkladu je jeho kapitálom, ktorý sa mu zhodnocuje v družstve a vybrať si ho môže len v prípade, že prestane pracovať, napríklad že sa presťahuje, alebo potrebuje peniaze pre svoju rodinu. Na otázku, či môže dať člen aj viac vkladov do družstva zaznela zaujímavá odpoveď. V minulosti to bolo možné, ale v súčasnosti už nie. Viac ako tento kapitál si považujú čas a prácu člena, jeho energiu, lojalitu, schopnosť sa vzdelávať a to, ako dokáže rozvíjať družstvo a prinášať doň inovácie. Za to sa družstvo členom odmení úrokmi až do výšky 7,5 % a pri odchode do dôchodku sa tento ich kapitál zhodnotí podľa slov pána Andera aj na 200 000 eur. </w:t>
      </w:r>
    </w:p>
    <w:p w:rsidR="00FF5CE6" w:rsidRPr="00FF5CE6" w:rsidRDefault="00FF5CE6" w:rsidP="00FF5CE6">
      <w:pPr>
        <w:spacing w:after="0" w:line="240" w:lineRule="auto"/>
        <w:textAlignment w:val="baseline"/>
        <w:rPr>
          <w:rFonts w:ascii="var(--ricos-font-family,unset)" w:eastAsia="Times New Roman" w:hAnsi="var(--ricos-font-family,unset)" w:cs="Times New Roman"/>
          <w:color w:val="000000"/>
          <w:sz w:val="24"/>
          <w:szCs w:val="24"/>
          <w:lang w:eastAsia="sk-SK"/>
        </w:rPr>
      </w:pPr>
      <w:r w:rsidRPr="00FF5CE6">
        <w:rPr>
          <w:rFonts w:ascii="var(--ricos-font-family,unset)" w:eastAsia="Times New Roman" w:hAnsi="var(--ricos-font-family,unset)" w:cs="Times New Roman"/>
          <w:color w:val="000000"/>
          <w:sz w:val="24"/>
          <w:szCs w:val="24"/>
          <w:lang w:eastAsia="sk-SK"/>
        </w:rPr>
        <w:lastRenderedPageBreak/>
        <w:t xml:space="preserve">Na záver diskusie sme mohli cítiť v postoji pána Andera, že koncepciu akou spolupracujú v Mondragone považuje za udržateľnú v dnešnej turbulentnej dobe. Cieľom nie je dosahovanie nekonečných ziskov, ale dôstojné podmienky pre členov družstva, dobrý vplyv na svoje okolie, prírodu, udržateľnosť podnikania a pracovných miest. Prial by si, aby Mondragon nebol len “sympatickou” alebo ”špeciálnou” firmou, ako ju prezentujú mnohé médiá, ale aby hodnoty a princípy v nej fungujúce sa aj prakticky implementovali do mnohých ďalších spoločností. </w:t>
      </w:r>
    </w:p>
    <w:p w:rsidR="00FF5CE6" w:rsidRPr="00FF5CE6" w:rsidRDefault="00FF5CE6" w:rsidP="00FF5CE6">
      <w:pPr>
        <w:spacing w:after="0" w:line="240" w:lineRule="auto"/>
        <w:textAlignment w:val="baseline"/>
        <w:rPr>
          <w:rFonts w:ascii="var(--ricos-font-family,unset)" w:eastAsia="Times New Roman" w:hAnsi="var(--ricos-font-family,unset)" w:cs="Times New Roman"/>
          <w:color w:val="000000"/>
          <w:sz w:val="24"/>
          <w:szCs w:val="24"/>
          <w:lang w:eastAsia="sk-SK"/>
        </w:rPr>
      </w:pPr>
      <w:r w:rsidRPr="00FF5CE6">
        <w:rPr>
          <w:rFonts w:ascii="var(--ricos-font-family,unset)" w:eastAsia="Times New Roman" w:hAnsi="var(--ricos-font-family,unset)" w:cs="Times New Roman"/>
          <w:color w:val="000000"/>
          <w:sz w:val="24"/>
          <w:szCs w:val="24"/>
          <w:lang w:eastAsia="sk-SK"/>
        </w:rPr>
        <w:t xml:space="preserve">Diskusia s pánom Anderom Etxeberria Otaduiom bola celá v angličtine a môžete si ju pozrieť priamo na FB stránke </w:t>
      </w:r>
      <w:hyperlink r:id="rId6" w:tgtFrame="_blank" w:history="1">
        <w:r w:rsidRPr="00FF5CE6">
          <w:rPr>
            <w:rFonts w:ascii="var(--ricos-font-family,unset)" w:eastAsia="Times New Roman" w:hAnsi="var(--ricos-font-family,unset)" w:cs="Times New Roman"/>
            <w:color w:val="0000FF"/>
            <w:sz w:val="24"/>
            <w:szCs w:val="24"/>
            <w:u w:val="single"/>
            <w:lang w:eastAsia="sk-SK"/>
          </w:rPr>
          <w:t>Pracujúca chudoba</w:t>
        </w:r>
      </w:hyperlink>
      <w:r w:rsidRPr="00FF5CE6">
        <w:rPr>
          <w:rFonts w:ascii="var(--ricos-font-family,unset)" w:eastAsia="Times New Roman" w:hAnsi="var(--ricos-font-family,unset)" w:cs="Times New Roman"/>
          <w:color w:val="000000"/>
          <w:sz w:val="24"/>
          <w:szCs w:val="24"/>
          <w:lang w:eastAsia="sk-SK"/>
        </w:rPr>
        <w:t xml:space="preserve"> </w:t>
      </w:r>
    </w:p>
    <w:p w:rsidR="00FF5CE6" w:rsidRPr="00FF5CE6" w:rsidRDefault="00FF5CE6" w:rsidP="00FF5CE6">
      <w:pPr>
        <w:spacing w:after="0" w:line="240" w:lineRule="auto"/>
        <w:textAlignment w:val="baseline"/>
        <w:rPr>
          <w:rFonts w:ascii="var(--ricos-font-family,unset)" w:eastAsia="Times New Roman" w:hAnsi="var(--ricos-font-family,unset)" w:cs="Times New Roman"/>
          <w:color w:val="000000"/>
          <w:sz w:val="24"/>
          <w:szCs w:val="24"/>
          <w:lang w:eastAsia="sk-SK"/>
        </w:rPr>
      </w:pPr>
      <w:r w:rsidRPr="00FF5CE6">
        <w:rPr>
          <w:rFonts w:ascii="var(--ricos-font-family,unset)" w:eastAsia="Times New Roman" w:hAnsi="var(--ricos-font-family,unset)" w:cs="Times New Roman"/>
          <w:color w:val="000000"/>
          <w:sz w:val="24"/>
          <w:szCs w:val="24"/>
          <w:lang w:eastAsia="sk-SK"/>
        </w:rPr>
        <w:t xml:space="preserve">O zakladateľovi Mondragonu, o jeho motívoch prečo založil Mondragon si môžete prečítať v našich </w:t>
      </w:r>
      <w:hyperlink r:id="rId7" w:tgtFrame="_blank" w:history="1">
        <w:r w:rsidRPr="00FF5CE6">
          <w:rPr>
            <w:rFonts w:ascii="var(--ricos-font-family,unset)" w:eastAsia="Times New Roman" w:hAnsi="var(--ricos-font-family,unset)" w:cs="Times New Roman"/>
            <w:color w:val="0000FF"/>
            <w:sz w:val="24"/>
            <w:szCs w:val="24"/>
            <w:u w:val="single"/>
            <w:lang w:eastAsia="sk-SK"/>
          </w:rPr>
          <w:t>Družstevných novinách</w:t>
        </w:r>
      </w:hyperlink>
      <w:r w:rsidRPr="00FF5CE6">
        <w:rPr>
          <w:rFonts w:ascii="var(--ricos-font-family,unset)" w:eastAsia="Times New Roman" w:hAnsi="var(--ricos-font-family,unset)" w:cs="Times New Roman"/>
          <w:color w:val="000000"/>
          <w:sz w:val="24"/>
          <w:szCs w:val="24"/>
          <w:lang w:eastAsia="sk-SK"/>
        </w:rPr>
        <w:t xml:space="preserve"> .</w:t>
      </w:r>
    </w:p>
    <w:p w:rsidR="00FF5CE6" w:rsidRPr="00FF5CE6" w:rsidRDefault="00FF5CE6" w:rsidP="00FF5CE6">
      <w:pPr>
        <w:spacing w:after="0" w:line="240" w:lineRule="auto"/>
        <w:textAlignment w:val="baseline"/>
        <w:rPr>
          <w:rFonts w:ascii="var(--ricos-font-family,unset)" w:eastAsia="Times New Roman" w:hAnsi="var(--ricos-font-family,unset)" w:cs="Times New Roman"/>
          <w:color w:val="000000"/>
          <w:sz w:val="24"/>
          <w:szCs w:val="24"/>
          <w:lang w:eastAsia="sk-SK"/>
        </w:rPr>
      </w:pPr>
      <w:r w:rsidRPr="00FF5CE6">
        <w:rPr>
          <w:rFonts w:ascii="var(--ricos-font-family,unset)" w:eastAsia="Times New Roman" w:hAnsi="var(--ricos-font-family,unset)" w:cs="Times New Roman"/>
          <w:color w:val="000000"/>
          <w:sz w:val="24"/>
          <w:szCs w:val="24"/>
          <w:lang w:eastAsia="sk-SK"/>
        </w:rPr>
        <w:t>Zuzana Lukáčová, podpredsedníčka Tradičného družstva</w:t>
      </w:r>
    </w:p>
    <w:p w:rsidR="00FF5CE6" w:rsidRDefault="00FF5CE6"/>
    <w:p w:rsidR="00FF5CE6" w:rsidRP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Default="00FF5CE6" w:rsidP="00FF5CE6"/>
    <w:p w:rsidR="00FF5CE6" w:rsidRPr="00FF5CE6" w:rsidRDefault="00FF5CE6" w:rsidP="00FF5CE6">
      <w:pPr>
        <w:spacing w:after="75" w:line="240" w:lineRule="auto"/>
        <w:outlineLvl w:val="0"/>
        <w:rPr>
          <w:rFonts w:ascii="Georgia" w:eastAsia="Times New Roman" w:hAnsi="Georgia" w:cs="Times New Roman"/>
          <w:kern w:val="36"/>
          <w:sz w:val="72"/>
          <w:szCs w:val="72"/>
          <w:lang w:eastAsia="sk-SK"/>
        </w:rPr>
      </w:pPr>
      <w:r w:rsidRPr="00FF5CE6">
        <w:rPr>
          <w:rFonts w:ascii="Georgia" w:eastAsia="Times New Roman" w:hAnsi="Georgia" w:cs="Times New Roman"/>
          <w:kern w:val="36"/>
          <w:sz w:val="72"/>
          <w:szCs w:val="72"/>
          <w:lang w:eastAsia="sk-SK"/>
        </w:rPr>
        <w:t xml:space="preserve">3.2 Mondragonská družstevní korporace (MCC), 3.2.2 Mondragonská </w:t>
      </w:r>
      <w:r w:rsidRPr="00FF5CE6">
        <w:rPr>
          <w:rFonts w:ascii="Georgia" w:eastAsia="Times New Roman" w:hAnsi="Georgia" w:cs="Times New Roman"/>
          <w:kern w:val="36"/>
          <w:sz w:val="72"/>
          <w:szCs w:val="72"/>
          <w:lang w:eastAsia="sk-SK"/>
        </w:rPr>
        <w:lastRenderedPageBreak/>
        <w:t>družstva: aktuální velikost a rozsah</w:t>
      </w:r>
    </w:p>
    <w:p w:rsidR="00FF5CE6" w:rsidRPr="00FF5CE6" w:rsidRDefault="00E416BB" w:rsidP="00FF5CE6">
      <w:pPr>
        <w:spacing w:after="0" w:line="240" w:lineRule="auto"/>
        <w:rPr>
          <w:rFonts w:ascii="Times New Roman" w:eastAsia="Times New Roman" w:hAnsi="Times New Roman" w:cs="Times New Roman"/>
          <w:sz w:val="21"/>
          <w:szCs w:val="21"/>
          <w:lang w:eastAsia="sk-SK"/>
        </w:rPr>
      </w:pPr>
      <w:hyperlink r:id="rId8" w:tooltip="Trvalý odkaz na 3.2  Mondragonská družstevní korporace (MCC), 3.2.2 Mondragonská družstva: aktuální velikost a rozsah" w:history="1">
        <w:r w:rsidR="00FF5CE6" w:rsidRPr="00FF5CE6">
          <w:rPr>
            <w:rFonts w:ascii="Times New Roman" w:eastAsia="Times New Roman" w:hAnsi="Times New Roman" w:cs="Times New Roman"/>
            <w:color w:val="BC360A"/>
            <w:sz w:val="21"/>
            <w:lang w:eastAsia="sk-SK"/>
          </w:rPr>
          <w:t>Říjen 15, 2015</w:t>
        </w:r>
      </w:hyperlink>
      <w:hyperlink r:id="rId9" w:history="1">
        <w:r w:rsidR="00FF5CE6" w:rsidRPr="00FF5CE6">
          <w:rPr>
            <w:rFonts w:ascii="Times New Roman" w:eastAsia="Times New Roman" w:hAnsi="Times New Roman" w:cs="Times New Roman"/>
            <w:color w:val="BC360A"/>
            <w:sz w:val="21"/>
            <w:lang w:eastAsia="sk-SK"/>
          </w:rPr>
          <w:t>JAK PODPOŘIT PODNIKÁNÍ V ČESKÉ REPUBLICE POMOCÍ FINANČNÍ SPOLUÚČASTI ZAMĚSTNANCŮ?</w:t>
        </w:r>
      </w:hyperlink>
      <w:r w:rsidR="00FF5CE6" w:rsidRPr="00FF5CE6">
        <w:rPr>
          <w:rFonts w:ascii="Times New Roman" w:eastAsia="Times New Roman" w:hAnsi="Times New Roman" w:cs="Times New Roman"/>
          <w:sz w:val="21"/>
          <w:lang w:eastAsia="sk-SK"/>
        </w:rPr>
        <w:t>, </w:t>
      </w:r>
      <w:hyperlink r:id="rId10" w:history="1">
        <w:r w:rsidR="00FF5CE6" w:rsidRPr="00FF5CE6">
          <w:rPr>
            <w:rFonts w:ascii="Times New Roman" w:eastAsia="Times New Roman" w:hAnsi="Times New Roman" w:cs="Times New Roman"/>
            <w:color w:val="BC360A"/>
            <w:sz w:val="21"/>
            <w:lang w:eastAsia="sk-SK"/>
          </w:rPr>
          <w:t>MÝTUS MONDRAGONU</w:t>
        </w:r>
      </w:hyperlink>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Mondragonská skupina družstevních podniků začínala jako jedna společnost a v letech 1955-56 měla dvě desítky lidí. Dnes, o 60 let později, je Mondragon významnou mezinárodní sítí podniků, kde pracuje přes 80 000 zaměstnanců ve 110 družstvech, 147 dceřiných společnostech, 8 nadacích, jedné obecně prospěšné společnosti 10 zastřešujících organizací a 13 zahraničních společností, které jsou začleněny do skupiny Mondragon. V roce 2012 činily tržby sítě Mondragon z průmyslu a maloobchodního prodeje přibližně 13 miliard dolarů (celkové příjmy dosáhly 14 miliard dolarů); finanční skupiny (složená převážně z družstevní banky Caja Laboral Popular a družstevní organizace Lagun Aro pro sociální zabezpečení/pojištění) spravovala přes 23 miliard dolarů z různých finančních aktivit. Mondragon je předním výrobcem domácích přístrojů a obráběcích strojů ve Španělsku, největším španělským vlastníkem maloobchodního řetězce potravin v zemi a největším dodavatelem automobilových komponentů v Evropě. Mezi jeho další výrobky a služby můžeme namátkou jmenovat: automatizované výrobní buňky, elektronické součástky, satelitní paraboly, lékařské vybavení, velké kovové konstrukce, průmyslové lisy, jízdní kola, poradenství v oblasti lidských zdrojů a inženýrství, vývoj softwaru a systémy online vzdělávání.Kromě výrazného růstu a diverzifikace skupina rovněž drží impozantní rekord v dlouhodobém podnikání a stabilitě zaměstnanosti. Tento rekord je možné vysvětlit několika faktory, z nichž některé vrhají na Mondragon dobré světlo a další jsou zdrojem kritiky. Za prvé, míra přežití nových podniků byla ve skupině vždy vysoká, přes 90 % a téměř 100 % v prvních 3-4 letech. Ve Spojených státech je míra přežití konvenčních podniků přibližně 44 % během prvních čtyř let a 71 % během tří let ve Velké Británii. Za druhé, skupina má přísnou politiku nepropouštění pro své pracovníky-členy a tak téměř všichni dělníci několika mála firem, které za ty roky zanikly, byli přemístěni do jiných družstevních společností skupiny. Za třetí, politika nepropouštění také znamená, že podniky, které nemají žádný vážný problém, ale čelí klesající poptávce, nepropustí své pracovníky-členy, ale raději je přemístí do jiných podniků ve skupině, které jsou zrovna ve fázi růstu.</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V souvislosti s nepropouštěcí politikou se Mondragon snaží zasáhnout do firem, které se dostanou do potíží s cílem chránit pracovní místa a zajistit společenství ekonomickou stabilitu. Řada podniků Mondragonu by byla dříve či později pravděpodobně uzavřena, kdyby byla použita běžná obchodní kritéria, ale vzhledem k jejich závazkům, Mondragon nechal v těchto podnicích vypracovat studii uskutečnitelnosti, restrukturalizoval dceřiné společnosti a s jejich pomocí a díky trpělivému financování je většina z nich teď poměrně úspěšná. Družstevní společnost Irizar, která vyrábí autobusy je výborným příkladem tokového obratu. Na počátku 90. let minulého století byla na hranici bankrotu, ale díky pomoci mondragonských institucí se obrátil podnik k lepšímu. Nyní je druhým největším výrobcem autobusů v Evropě a na základě mnoha finančních kritérií je nejúspěšnější družstevní společností v celém mondragonském systému.</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 xml:space="preserve">Tyto tři faktory přispívají k dlouhodobému podnikání a obecně ke stabilitě zaměstnanosti a vrhají dobré světlo na síť družstevních podniků, které se snaží o zajištění sociálního a </w:t>
      </w:r>
      <w:r w:rsidRPr="00FF5CE6">
        <w:rPr>
          <w:rFonts w:ascii="Times New Roman" w:eastAsia="Times New Roman" w:hAnsi="Times New Roman" w:cs="Times New Roman"/>
          <w:sz w:val="24"/>
          <w:szCs w:val="24"/>
          <w:lang w:eastAsia="sk-SK"/>
        </w:rPr>
        <w:lastRenderedPageBreak/>
        <w:t>ekonomického úspěchu. Nicméně, jejich ostatní politika týkající se například zahraničních operací a nečlenských pracovníků jsou mnohem více kontroverzní.</w:t>
      </w:r>
    </w:p>
    <w:p w:rsidR="00FF5CE6" w:rsidRPr="00FF5CE6" w:rsidRDefault="00FF5CE6" w:rsidP="00FF5CE6">
      <w:pPr>
        <w:spacing w:before="495" w:after="495" w:line="240" w:lineRule="auto"/>
        <w:outlineLvl w:val="0"/>
        <w:rPr>
          <w:rFonts w:ascii="Georgia" w:eastAsia="Times New Roman" w:hAnsi="Georgia" w:cs="Times New Roman"/>
          <w:b/>
          <w:bCs/>
          <w:kern w:val="36"/>
          <w:sz w:val="72"/>
          <w:szCs w:val="72"/>
          <w:lang w:eastAsia="sk-SK"/>
        </w:rPr>
      </w:pPr>
      <w:r w:rsidRPr="00FF5CE6">
        <w:rPr>
          <w:rFonts w:ascii="Georgia" w:eastAsia="Times New Roman" w:hAnsi="Georgia" w:cs="Times New Roman"/>
          <w:b/>
          <w:bCs/>
          <w:kern w:val="36"/>
          <w:sz w:val="72"/>
          <w:szCs w:val="72"/>
          <w:lang w:eastAsia="sk-SK"/>
        </w:rPr>
        <w:t>Navigace pro příspěvek</w:t>
      </w:r>
    </w:p>
    <w:p w:rsidR="00FF5CE6" w:rsidRPr="00FF5CE6" w:rsidRDefault="00E416BB" w:rsidP="00FF5CE6">
      <w:pPr>
        <w:spacing w:after="0" w:line="240" w:lineRule="auto"/>
        <w:rPr>
          <w:rFonts w:ascii="Times New Roman" w:eastAsia="Times New Roman" w:hAnsi="Times New Roman" w:cs="Times New Roman"/>
          <w:sz w:val="24"/>
          <w:szCs w:val="24"/>
          <w:lang w:eastAsia="sk-SK"/>
        </w:rPr>
      </w:pPr>
      <w:hyperlink r:id="rId11" w:history="1">
        <w:r w:rsidR="00FF5CE6" w:rsidRPr="00FF5CE6">
          <w:rPr>
            <w:rFonts w:ascii="Times New Roman" w:eastAsia="Times New Roman" w:hAnsi="Times New Roman" w:cs="Times New Roman"/>
            <w:color w:val="BC360A"/>
            <w:sz w:val="24"/>
            <w:szCs w:val="24"/>
            <w:lang w:eastAsia="sk-SK"/>
          </w:rPr>
          <w:t>← 3.2 Mondragonská družstevní korporace (MCC), 3.2.3 Struktura sítě Mondragonu</w:t>
        </w:r>
      </w:hyperlink>
      <w:hyperlink r:id="rId12" w:history="1">
        <w:r w:rsidR="00FF5CE6" w:rsidRPr="00FF5CE6">
          <w:rPr>
            <w:rFonts w:ascii="Times New Roman" w:eastAsia="Times New Roman" w:hAnsi="Times New Roman" w:cs="Times New Roman"/>
            <w:color w:val="BC360A"/>
            <w:sz w:val="24"/>
            <w:szCs w:val="24"/>
            <w:lang w:eastAsia="sk-SK"/>
          </w:rPr>
          <w:t>3.2 Mondragonská družstevní korporace (MCC), 3.2.1 Historický vývoj mondragonských družstev a Otec Arizmendiarrieta →</w:t>
        </w:r>
      </w:hyperlink>
    </w:p>
    <w:p w:rsid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Default="00FF5CE6" w:rsidP="00FF5CE6"/>
    <w:p w:rsidR="00FF5CE6" w:rsidRPr="00FF5CE6" w:rsidRDefault="00FF5CE6" w:rsidP="00FF5CE6">
      <w:pPr>
        <w:spacing w:after="75" w:line="240" w:lineRule="auto"/>
        <w:outlineLvl w:val="0"/>
        <w:rPr>
          <w:rFonts w:ascii="Georgia" w:eastAsia="Times New Roman" w:hAnsi="Georgia" w:cs="Times New Roman"/>
          <w:kern w:val="36"/>
          <w:sz w:val="72"/>
          <w:szCs w:val="72"/>
          <w:lang w:eastAsia="sk-SK"/>
        </w:rPr>
      </w:pPr>
      <w:r w:rsidRPr="00FF5CE6">
        <w:rPr>
          <w:rFonts w:ascii="Georgia" w:eastAsia="Times New Roman" w:hAnsi="Georgia" w:cs="Times New Roman"/>
          <w:kern w:val="36"/>
          <w:sz w:val="72"/>
          <w:szCs w:val="72"/>
          <w:lang w:eastAsia="sk-SK"/>
        </w:rPr>
        <w:t>3.2 Mondragonská družstevní korporace (MCC), 3.2.3 Struktura sítě Mondragonu</w:t>
      </w:r>
    </w:p>
    <w:p w:rsidR="00FF5CE6" w:rsidRPr="00FF5CE6" w:rsidRDefault="00E416BB" w:rsidP="00FF5CE6">
      <w:pPr>
        <w:spacing w:after="0" w:line="240" w:lineRule="auto"/>
        <w:rPr>
          <w:rFonts w:ascii="Times New Roman" w:eastAsia="Times New Roman" w:hAnsi="Times New Roman" w:cs="Times New Roman"/>
          <w:sz w:val="21"/>
          <w:szCs w:val="21"/>
          <w:lang w:eastAsia="sk-SK"/>
        </w:rPr>
      </w:pPr>
      <w:hyperlink r:id="rId13" w:tooltip="Trvalý odkaz na 3.2  Mondragonská družstevní korporace (MCC), 3.2.3 Struktura sítě Mondragonu" w:history="1">
        <w:r w:rsidR="00FF5CE6" w:rsidRPr="00FF5CE6">
          <w:rPr>
            <w:rFonts w:ascii="Times New Roman" w:eastAsia="Times New Roman" w:hAnsi="Times New Roman" w:cs="Times New Roman"/>
            <w:color w:val="BC360A"/>
            <w:sz w:val="21"/>
            <w:lang w:eastAsia="sk-SK"/>
          </w:rPr>
          <w:t>Říjen 15, 2015</w:t>
        </w:r>
      </w:hyperlink>
      <w:hyperlink r:id="rId14" w:history="1">
        <w:r w:rsidR="00FF5CE6" w:rsidRPr="00FF5CE6">
          <w:rPr>
            <w:rFonts w:ascii="Times New Roman" w:eastAsia="Times New Roman" w:hAnsi="Times New Roman" w:cs="Times New Roman"/>
            <w:color w:val="BC360A"/>
            <w:sz w:val="21"/>
            <w:lang w:eastAsia="sk-SK"/>
          </w:rPr>
          <w:t>JAK PODPOŘIT PODNIKÁNÍ V ČESKÉ REPUBLICE POMOCÍ FINANČNÍ SPOLUÚČASTI ZAMĚSTNANCŮ?</w:t>
        </w:r>
      </w:hyperlink>
      <w:r w:rsidR="00FF5CE6" w:rsidRPr="00FF5CE6">
        <w:rPr>
          <w:rFonts w:ascii="Times New Roman" w:eastAsia="Times New Roman" w:hAnsi="Times New Roman" w:cs="Times New Roman"/>
          <w:sz w:val="21"/>
          <w:lang w:eastAsia="sk-SK"/>
        </w:rPr>
        <w:t>, </w:t>
      </w:r>
      <w:hyperlink r:id="rId15" w:history="1">
        <w:r w:rsidR="00FF5CE6" w:rsidRPr="00FF5CE6">
          <w:rPr>
            <w:rFonts w:ascii="Times New Roman" w:eastAsia="Times New Roman" w:hAnsi="Times New Roman" w:cs="Times New Roman"/>
            <w:color w:val="BC360A"/>
            <w:sz w:val="21"/>
            <w:lang w:eastAsia="sk-SK"/>
          </w:rPr>
          <w:t>MÝTUS MONDRAGONU</w:t>
        </w:r>
      </w:hyperlink>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 xml:space="preserve">Mondragon Corporation představuje zcela odlišný a úspěšný přístupu k obchodním podnikům. Základ tohoto přístupu tkví ve struktuře vlastnictví, která je netypická. Podniky v </w:t>
      </w:r>
      <w:r w:rsidRPr="00FF5CE6">
        <w:rPr>
          <w:rFonts w:ascii="Times New Roman" w:eastAsia="Times New Roman" w:hAnsi="Times New Roman" w:cs="Times New Roman"/>
          <w:sz w:val="24"/>
          <w:szCs w:val="24"/>
          <w:lang w:eastAsia="sk-SK"/>
        </w:rPr>
        <w:lastRenderedPageBreak/>
        <w:t>rámci Mondragon Corporation jsou družstevními podniky, to tedy znamená, že jsou vlastněny lidmi, kteří v rámci těchto podniků pracují.</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Ekonomický úspěch a odolnost Mondragonu je pozoruhodná právě kvůli tomu, že se jedná o družstva. Firmy v rámci Mondragonu dosáhly toho, že prosperují již vice než 50 let a to zejména posledních 30 let, které byly velice náročné, jelikož zahrnují období důležité průmyslové restrukturalizace v Baskicku, stejně tak, jako ve zbytku celého vyspělého světa.</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Dva z charakteristických znaků, které jsou tolik typické pro družstva v rámci Mondragonu, souvisí s myšlenkou sítě. První znak se týká právě této myšlenky. Arizmendiarrieta a jeho následovníci brzy rozpoznali potencionální přínosy spolupráce ve skupině nebo v řadě propojených skupin, a to za účelem vzájemné pomoci a vytvoření sítě organizací tzv. druhého stupně, jenž slouží společným zájmům. Existence této sítě podpůrných organizací je vlastně ztělesněním principu mezi-spolupráce, a jedná se o zásadní zkušenost Mondragonu a klíč k jejich dlouhodobému úspěchu. Tou druhou charakteristikou byla schopnost adaptace sítě i organizační struktury podle potřeb a okolností. Na rozdíl od ostatních družstevních firem, které víceméně pracují nezávisle ze dne na den, zástupci firmy Mondragon rozvíjeli souhrnnou skupinovou taktiku. Na základě toho, jak v polovině 60. let rostl trh a stával se kompetitivnějším, spojili své síly ještě více, což vedlo rovněž ke sdílení vedení, struktury řízení a službám (hlavně ve druhé polovině let 70. a 80.).</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Nicméně později s postupující globalizací trhů a začlenění Španělska do Evropského hospodářského společenství, nebyla již tato struktura déle vhodná. Skupina Mondragon tak na tyto tlaky reagovala několika způsoby, přičemž nejvýznamnějším z nich byla implementace dvou nových principů: 1) částečné strukturální sjednocení, tedy vytvoření ústředních orgánů s určitými odpovědnostmi a pravomocemi jak v řízení, tak v poskytování služeb v oblasti správy v rámci celé skupiny, a 2) reorganizace členských firem na bázi průmyslového sektoru na rozdíl od oblasti (viz obrázek 1).</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Tato reorganizace byla zahájena v roce 1991 a propracována mezi lety 2005-2006. Díky tomuto došlo ke shromáždění všech podniků a podpůrných organizací pod jednu střechu a sice Mondragon Cooperative Corporation (MCC) – jednoduše Mondragon.</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Jednotlivá družstva byla rozdělena mezi tři hlavní obchodní skupiny v rámci MCC – finanční, průmyslovou a maloobchodní – a, v rámci průmyslové skupiny, do 12 divizí. Korporace Mondragon jako celek a její tři skupiny mají spravující a řídící orgány, které přibližně odrážejí ty, které existují na úrovni jednotlivých družstevních společností. Na celkové úrovni Mondragonu jsou řídící funkce vykonávány prezidentem a generální radou, která se skládá z ředitelů finanční skupiny, maloobchodní skupiny, největších divizí průmyslové skupiny, stejně jako vedoucích několika centrálních oddělení korporace (finance, strategické plánování a technické záležitostí, mezinárodní činnosti, právní a institucionální záležitostí, lidské zdroje, inovace, rozvoj nových obchodních příležitostí atd.). Cílem této reorganizace nebylo centralizovat kontrolu, ale dosáhnout větších úspor ze zavedené velkovýroby, technologických a obchodních synergií, asistence či strategického plánování.</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 xml:space="preserve">Banka i nadále zůstává důležitou institucí, která se ale nyní věnuje výhradně bankovnictví. Její funkce financování rozvoje a poskytování rizikového kapitálu byly převedeny do několika hlavních fondů v sídle organizace, především pak do Mondragon Investments a Mondragon </w:t>
      </w:r>
      <w:r w:rsidRPr="00FF5CE6">
        <w:rPr>
          <w:rFonts w:ascii="Times New Roman" w:eastAsia="Times New Roman" w:hAnsi="Times New Roman" w:cs="Times New Roman"/>
          <w:sz w:val="24"/>
          <w:szCs w:val="24"/>
          <w:lang w:eastAsia="sk-SK"/>
        </w:rPr>
        <w:lastRenderedPageBreak/>
        <w:t>Foundation, které jsou financovány z ročních investic a rovněž i z příspěvků členských společností před a po zdanění. Poradenství a řešení problémů divize Obchodních služeb banky rovněž posunula její institucionální umístění, jak je vysvětleno níže.</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Centrální řídící orgány ve firmě Mondragon se zodpovídají dvěma demokraticky řízeným strukturám: družstevnímu kongresu a jeho stálému výbor. Kongres se skládá z 650 zástupců, rozebírá a stanovuje základní zásady, které musí být dodržovány v rámci členských družstev. Stálý výbor (v podstatě vnitřní představenstvo) se skládá z 21 lidí, kteří jsou voleni z dříve volených rad jednotlivých skupin odvětví a divizí. Stálý výbor jmenuje zástupce nejvyššího managementu, prezidenta generální rady, a musí schválit jeho volbu vedoucích pracovníků, kteří zasedají v generální radě, tzn. ředitelů skupin a divizí a ředitelů centrálních oddělení.</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Zatímco se struktura Mondragon Corporation může jevit spíše jako konvenční konglomerát, jak původní decentralizovaná struktura vlastně vyznívala, základní družstevní principy jsou stále v účinnosti. Každé jednotlivé družstvo je právně samostatná jednotka s vlastní demokratickou správou. Každá jednotka takto připojená k MCC zároveň souhlasila, že bude dodržovat zásady korporace prostřednictvím hlasování na valné hromadě pracovníků-členů a může hlasovat pro to, že firmu kdykoliv opustí.</w:t>
      </w:r>
    </w:p>
    <w:p w:rsidR="00FF5CE6" w:rsidRPr="00FF5CE6" w:rsidRDefault="00FF5CE6" w:rsidP="00FF5CE6">
      <w:pPr>
        <w:spacing w:before="495" w:after="495" w:line="240" w:lineRule="auto"/>
        <w:outlineLvl w:val="0"/>
        <w:rPr>
          <w:rFonts w:ascii="Georgia" w:eastAsia="Times New Roman" w:hAnsi="Georgia" w:cs="Times New Roman"/>
          <w:b/>
          <w:bCs/>
          <w:kern w:val="36"/>
          <w:sz w:val="72"/>
          <w:szCs w:val="72"/>
          <w:lang w:eastAsia="sk-SK"/>
        </w:rPr>
      </w:pPr>
      <w:r w:rsidRPr="00FF5CE6">
        <w:rPr>
          <w:rFonts w:ascii="Georgia" w:eastAsia="Times New Roman" w:hAnsi="Georgia" w:cs="Times New Roman"/>
          <w:b/>
          <w:bCs/>
          <w:kern w:val="36"/>
          <w:sz w:val="72"/>
          <w:szCs w:val="72"/>
          <w:lang w:eastAsia="sk-SK"/>
        </w:rPr>
        <w:t>Navigace pro příspěvek</w:t>
      </w:r>
    </w:p>
    <w:p w:rsidR="00FF5CE6" w:rsidRPr="00FF5CE6" w:rsidRDefault="00E416BB" w:rsidP="00FF5CE6">
      <w:pPr>
        <w:spacing w:after="0" w:line="240" w:lineRule="auto"/>
        <w:rPr>
          <w:rFonts w:ascii="Times New Roman" w:eastAsia="Times New Roman" w:hAnsi="Times New Roman" w:cs="Times New Roman"/>
          <w:sz w:val="24"/>
          <w:szCs w:val="24"/>
          <w:lang w:eastAsia="sk-SK"/>
        </w:rPr>
      </w:pPr>
      <w:hyperlink r:id="rId16" w:history="1">
        <w:r w:rsidR="00FF5CE6" w:rsidRPr="00FF5CE6">
          <w:rPr>
            <w:rFonts w:ascii="Times New Roman" w:eastAsia="Times New Roman" w:hAnsi="Times New Roman" w:cs="Times New Roman"/>
            <w:color w:val="BC360A"/>
            <w:sz w:val="24"/>
            <w:szCs w:val="24"/>
            <w:lang w:eastAsia="sk-SK"/>
          </w:rPr>
          <w:t>← 3.2 Mondragonská družstevní korporace (MCC), 3.2.4 Klíčové znaky Mondragonské družstevní praxe</w:t>
        </w:r>
      </w:hyperlink>
      <w:hyperlink r:id="rId17" w:history="1">
        <w:r w:rsidR="00FF5CE6" w:rsidRPr="00FF5CE6">
          <w:rPr>
            <w:rFonts w:ascii="Times New Roman" w:eastAsia="Times New Roman" w:hAnsi="Times New Roman" w:cs="Times New Roman"/>
            <w:color w:val="BC360A"/>
            <w:sz w:val="24"/>
            <w:szCs w:val="24"/>
            <w:lang w:eastAsia="sk-SK"/>
          </w:rPr>
          <w:t>3.2 Mondragonská družstevní korporace (MCC), 3.2.2 Mondragonská družstva: aktuální velikost a rozsah →</w:t>
        </w:r>
      </w:hyperlink>
    </w:p>
    <w:p w:rsidR="00FF5CE6" w:rsidRDefault="00FF5CE6" w:rsidP="00FF5CE6"/>
    <w:p w:rsidR="00FF5CE6" w:rsidRPr="00FF5CE6" w:rsidRDefault="00973B5E" w:rsidP="00FF5CE6">
      <w:r w:rsidRPr="00973B5E">
        <w:rPr>
          <w:noProof/>
          <w:lang w:eastAsia="sk-SK"/>
        </w:rPr>
        <w:drawing>
          <wp:inline distT="0" distB="0" distL="0" distR="0">
            <wp:extent cx="2362200" cy="2857500"/>
            <wp:effectExtent l="19050" t="0" r="0" b="0"/>
            <wp:docPr id="2" name="Obrázok 3" descr="Mondragon Network Structure">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ondragon Network Structure">
                      <a:hlinkClick r:id="rId18"/>
                    </pic:cNvPr>
                    <pic:cNvPicPr>
                      <a:picLocks noChangeAspect="1" noChangeArrowheads="1"/>
                    </pic:cNvPicPr>
                  </pic:nvPicPr>
                  <pic:blipFill>
                    <a:blip r:embed="rId19" cstate="print"/>
                    <a:srcRect/>
                    <a:stretch>
                      <a:fillRect/>
                    </a:stretch>
                  </pic:blipFill>
                  <pic:spPr bwMode="auto">
                    <a:xfrm>
                      <a:off x="0" y="0"/>
                      <a:ext cx="2362200" cy="2857500"/>
                    </a:xfrm>
                    <a:prstGeom prst="rect">
                      <a:avLst/>
                    </a:prstGeom>
                    <a:noFill/>
                    <a:ln w="9525">
                      <a:noFill/>
                      <a:miter lim="800000"/>
                      <a:headEnd/>
                      <a:tailEnd/>
                    </a:ln>
                  </pic:spPr>
                </pic:pic>
              </a:graphicData>
            </a:graphic>
          </wp:inline>
        </w:drawing>
      </w:r>
    </w:p>
    <w:p w:rsidR="00FF5CE6" w:rsidRP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Pr="00FF5CE6" w:rsidRDefault="00FF5CE6" w:rsidP="00FF5CE6"/>
    <w:p w:rsidR="00FF5CE6" w:rsidRDefault="00FF5CE6" w:rsidP="00FF5CE6"/>
    <w:p w:rsidR="00FF5CE6" w:rsidRDefault="00FF5CE6" w:rsidP="00FF5CE6"/>
    <w:p w:rsidR="00FF5CE6" w:rsidRDefault="00FF5CE6" w:rsidP="00FF5CE6"/>
    <w:p w:rsidR="00FF5CE6" w:rsidRDefault="00FF5CE6" w:rsidP="00FF5CE6"/>
    <w:p w:rsidR="00FF5CE6" w:rsidRPr="00FF5CE6" w:rsidRDefault="00FF5CE6" w:rsidP="00FF5CE6">
      <w:pPr>
        <w:spacing w:after="75" w:line="240" w:lineRule="auto"/>
        <w:outlineLvl w:val="0"/>
        <w:rPr>
          <w:rFonts w:ascii="Georgia" w:eastAsia="Times New Roman" w:hAnsi="Georgia" w:cs="Times New Roman"/>
          <w:kern w:val="36"/>
          <w:sz w:val="72"/>
          <w:szCs w:val="72"/>
          <w:lang w:eastAsia="sk-SK"/>
        </w:rPr>
      </w:pPr>
      <w:r w:rsidRPr="00FF5CE6">
        <w:rPr>
          <w:rFonts w:ascii="Georgia" w:eastAsia="Times New Roman" w:hAnsi="Georgia" w:cs="Times New Roman"/>
          <w:kern w:val="36"/>
          <w:sz w:val="72"/>
          <w:szCs w:val="72"/>
          <w:lang w:eastAsia="sk-SK"/>
        </w:rPr>
        <w:t>3.2 Mondragonská družstevní korporace (MCC), 3.2.1 Historický vývoj mondragonských družstev a Otec Arizmendiarrieta</w:t>
      </w:r>
    </w:p>
    <w:p w:rsidR="00FF5CE6" w:rsidRPr="00FF5CE6" w:rsidRDefault="00E416BB" w:rsidP="00FF5CE6">
      <w:pPr>
        <w:spacing w:after="0" w:line="240" w:lineRule="auto"/>
        <w:rPr>
          <w:rFonts w:ascii="Times New Roman" w:eastAsia="Times New Roman" w:hAnsi="Times New Roman" w:cs="Times New Roman"/>
          <w:sz w:val="21"/>
          <w:szCs w:val="21"/>
          <w:lang w:eastAsia="sk-SK"/>
        </w:rPr>
      </w:pPr>
      <w:hyperlink r:id="rId20" w:tooltip="Trvalý odkaz na 3.2  Mondragonská družstevní korporace (MCC), 3.2.1 Historický vývoj mondragonských družstev a Otec Arizmendiarrieta" w:history="1">
        <w:r w:rsidR="00FF5CE6" w:rsidRPr="00FF5CE6">
          <w:rPr>
            <w:rFonts w:ascii="Times New Roman" w:eastAsia="Times New Roman" w:hAnsi="Times New Roman" w:cs="Times New Roman"/>
            <w:color w:val="BC360A"/>
            <w:sz w:val="21"/>
            <w:lang w:eastAsia="sk-SK"/>
          </w:rPr>
          <w:t>Říjen 15, 2015</w:t>
        </w:r>
      </w:hyperlink>
      <w:hyperlink r:id="rId21" w:history="1">
        <w:r w:rsidR="00FF5CE6" w:rsidRPr="00FF5CE6">
          <w:rPr>
            <w:rFonts w:ascii="Times New Roman" w:eastAsia="Times New Roman" w:hAnsi="Times New Roman" w:cs="Times New Roman"/>
            <w:color w:val="BC360A"/>
            <w:sz w:val="21"/>
            <w:lang w:eastAsia="sk-SK"/>
          </w:rPr>
          <w:t>JAK PODPOŘIT PODNIKÁNÍ V ČESKÉ REPUBLICE POMOCÍ FINANČNÍ SPOLUÚČASTI ZAMĚSTNANCŮ?</w:t>
        </w:r>
      </w:hyperlink>
      <w:r w:rsidR="00FF5CE6" w:rsidRPr="00FF5CE6">
        <w:rPr>
          <w:rFonts w:ascii="Times New Roman" w:eastAsia="Times New Roman" w:hAnsi="Times New Roman" w:cs="Times New Roman"/>
          <w:sz w:val="21"/>
          <w:lang w:eastAsia="sk-SK"/>
        </w:rPr>
        <w:t>, </w:t>
      </w:r>
      <w:hyperlink r:id="rId22" w:history="1">
        <w:r w:rsidR="00FF5CE6" w:rsidRPr="00FF5CE6">
          <w:rPr>
            <w:rFonts w:ascii="Times New Roman" w:eastAsia="Times New Roman" w:hAnsi="Times New Roman" w:cs="Times New Roman"/>
            <w:color w:val="BC360A"/>
            <w:sz w:val="21"/>
            <w:lang w:eastAsia="sk-SK"/>
          </w:rPr>
          <w:t>MÝTUS MONDRAGONU</w:t>
        </w:r>
      </w:hyperlink>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Baskicko se vyznačuje hornatou krajinou s nedostatkem zemědělské půdy, ale v minulosti bylo bohaté na ložiska železné rudy a uhlí, a to jak v rámci svých hranic, tak i v blízkém okolí. Průmysl zde měl však vždy dlouhou tradici. Již v 16. a 17. století vzkvétal průmysl hutní, ocelářský a příbuzná odvětví, obrábění kovů různého druhu a stavba lodí. Průmysl se pak masivně rozšířil s příchodem západoevropské industrializace na přelomu 19. a 20. století. Baskové uzavírali významné obchody se zbytkem Evropy, zejména však s Anglií. Industriální expanze pokračovala až do 70. let 20. století, kdy většina západních zemí začínala čelit jak strmému navýšení cen pohonných hmot, tak zvýšené výrobní konkurenci nově industrializovaných zemí v Asii a na dalších územích.</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lastRenderedPageBreak/>
        <w:t>Samotné město Mondragon bylo něco jako mikrokosmos těchto obecných baskických ekonomických tendencí.</w:t>
      </w:r>
      <w:bookmarkStart w:id="0" w:name="_ftnref1"/>
      <w:r w:rsidR="00E416BB" w:rsidRPr="00FF5CE6">
        <w:rPr>
          <w:rFonts w:ascii="Times New Roman" w:eastAsia="Times New Roman" w:hAnsi="Times New Roman" w:cs="Times New Roman"/>
          <w:sz w:val="24"/>
          <w:szCs w:val="24"/>
          <w:lang w:eastAsia="sk-SK"/>
        </w:rPr>
        <w:fldChar w:fldCharType="begin"/>
      </w:r>
      <w:r w:rsidRPr="00FF5CE6">
        <w:rPr>
          <w:rFonts w:ascii="Times New Roman" w:eastAsia="Times New Roman" w:hAnsi="Times New Roman" w:cs="Times New Roman"/>
          <w:sz w:val="24"/>
          <w:szCs w:val="24"/>
          <w:lang w:eastAsia="sk-SK"/>
        </w:rPr>
        <w:instrText xml:space="preserve"> HYPERLINK "http://www.maussen.eu/cs/2015/10/15/3-2-mondragonska-druzstevni-korporace-mcc-3-2-1-historicky-vyvoj-mondragonskych-druzstev-a-otec-arizmendiarrieta/index.htm" \l "_ftn1" </w:instrText>
      </w:r>
      <w:r w:rsidR="00E416BB" w:rsidRPr="00FF5CE6">
        <w:rPr>
          <w:rFonts w:ascii="Times New Roman" w:eastAsia="Times New Roman" w:hAnsi="Times New Roman" w:cs="Times New Roman"/>
          <w:sz w:val="24"/>
          <w:szCs w:val="24"/>
          <w:lang w:eastAsia="sk-SK"/>
        </w:rPr>
        <w:fldChar w:fldCharType="separate"/>
      </w:r>
      <w:r w:rsidRPr="00FF5CE6">
        <w:rPr>
          <w:rFonts w:ascii="Times New Roman" w:eastAsia="Times New Roman" w:hAnsi="Times New Roman" w:cs="Times New Roman"/>
          <w:color w:val="BC360A"/>
          <w:sz w:val="24"/>
          <w:szCs w:val="24"/>
          <w:lang w:eastAsia="sk-SK"/>
        </w:rPr>
        <w:t>[1]</w:t>
      </w:r>
      <w:r w:rsidR="00E416BB" w:rsidRPr="00FF5CE6">
        <w:rPr>
          <w:rFonts w:ascii="Times New Roman" w:eastAsia="Times New Roman" w:hAnsi="Times New Roman" w:cs="Times New Roman"/>
          <w:sz w:val="24"/>
          <w:szCs w:val="24"/>
          <w:lang w:eastAsia="sk-SK"/>
        </w:rPr>
        <w:fldChar w:fldCharType="end"/>
      </w:r>
      <w:bookmarkEnd w:id="0"/>
      <w:r w:rsidRPr="00FF5CE6">
        <w:rPr>
          <w:rFonts w:ascii="Times New Roman" w:eastAsia="Times New Roman" w:hAnsi="Times New Roman" w:cs="Times New Roman"/>
          <w:sz w:val="24"/>
          <w:szCs w:val="24"/>
          <w:lang w:eastAsia="sk-SK"/>
        </w:rPr>
        <w:t> Od začátku 20. století bylo domovem velké společnosti Union Cerrajera, výrobce zámků a produktů s tím spojených. Tato společnost byla dlouho jednou z nejdůležitějších průmyslových firem v Baskicku a již ve 20. letech minulého století měla více jak 800 zaměstnanců. Její existence přirozeně zvýšila počet podniků, které se zabývali kovoobráběním a podobnými obory v Mondragonu a jeho okolí. V době, kdy byla založena první mondragonská firma v 50. letech minulého století, měli obyvatelé v průmyslu již hluboké znalosti a dovednosti a přivykli rytmu a požadavkům života v těchto oblastech. Tyto okolnosti nám pomáhají pochopit, proč byla první mondragonská družstva průmyslovými podniky a ne zemědělskými, maloobchodními nebo společnostmi zabývajícími se spotřebitelskými úvěry, jak tomu bylo ve většině družstevních hnutí v různých částech světa. Ve skupině převládali prvních 35-40 let průmyslové podniky. Banka či družstevní záložna byla jednou z prvních družstev v tomto uskupení, ale zatímco se zdálo, že funguje jako běžná banka, byla založena, aby sloužila v první řadě průmyslovým podnikům a ne trhu retailového bankovnictví. Stručně řečeno, Baskicko obecně a oblast Mondragonu zejména, mají dlouhou průmyslovou tradici a ta měla nepochybně vliv na vznik a vývoj uskupení Mondragon.</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Španělská občanská válka (1936-1939) také hrála důležitou roli v dějinách družstevního komplexu. Baskické provincie Biscay a Gipúzkoa zůstali loajální Španělské republice – která slíbila Baskicku větší autonomii – a která bojovala proti Frankovi a jeho fašistické armádě. Válka tak byla zároveň občanskou válkou mezi samotnými Basky. Ti, kdo podporovali Franka a jeho stranu – a bylo jich hodně – si užívali výhod vítězství a nacionalisté a republikáni trpěli důsledky své porážky.</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V roce 1941 do tohoto prostředí chudoby a útlaku, a kdy byl zbytek světa ponořen do druhé světové války, poslal arcibiskup z města Vitoria do Mondragonu proreformního mladého kněze, Otce Josého María Arizmendiarrieta. Zatímco plnil své povinnosti faráře, Arizmendiarrieta se také začal věnovat praktickým činnostem a zároveň se nadále vzdělával v oboru sociálních věd, filozofie a teologie. Organizoval všechny druhy místních spolků a neformálních skupin všech věkových kategorií, obvykle pod ochrannou záštitou církve – která v té době byla v podstatě bezpodmínečným spojencem, ne-li přímo součástí Frankova režimu – a zahájil nebo řídil nespočet projektů pro místní rozvoj. Ve skutečnosti se věnoval něčemu, co by se dalo nejlépe popsat jako organizace komunity, ačkoliv nikdy nenabádal lidi, aby přímo napadali lokální nebo národní politické a silné ekonomické struktury. Málokdy, pokud vůbec, mluvil o odporu, spíše o svépomoci, rozvoji, zodpovědnosti, místní iniciativě a závazcích vůči komunitě.</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Angažovanost je další znak, který definuje jeho aktivity v Mondragonu. Povzbuzoval místní spolky k samostatnému řízení, aby převzali iniciativu, sami založili formální či neformální uskupení, aby si plánovali schůzky, vybírali své vlastní vedení a hnali vedoucí pracovníky k zodpovědnosti.</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Vzdělání viděl jako jeden z jeho nejdůležitějších úkolů v rozvoji komunity. Jelikož v Mondragonu v té době neexistovalo žádné středoškolské vzdělání, tak v roce 1943, pouhé dva roky po jeho příjezdu, s pomocí několika místních obyvatel, založil malou odborně technickou školu pro dospělé. Škola se rozrůstala a rozšiřovala své aktivity a postupně se stala v tak malém městě poměrně zásadní organizací a v 50. letech minulého století již měla stovky studentů. Později na ní odmaturovalo mnoho vedoucích pracovníků první generace a tak tomu bylo i další desetiletí.</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lastRenderedPageBreak/>
        <w:t>Kněz byl čím dál otevřenější a zastával katolickou sociální doktrínu v ekonomické sféře. Tato doktrína byla kritická ke konvenční kapitalistické ekonomice, obchodní praxi a pracovním vztahům, a dožadovala se větší spolupráce, ekonomické spravedlnosti, závazkům ke komunitě a možnosti lidského rozvoje a to jak v ekonomice obecně, tak zejména ve struktuře a fungování podniku.</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Jádro skupiny tvořili převážně mladí lidé, kteří se stali Arizmendiarritetovými stoupenci a dokonce i učedníky. Pět členů a zároveň absolventů jeho technické školy, pokračovalo ve studiu a získalo inženýrský titul prostřednictvím korespondenčního kurzu a začalo pracovat v již zmíněné společnosti Union Cerrajera, jež byla hlavním byznysem v Mandragonu. Navrhli vedení spoluúčast pracovníků a jejich podíl na zisku, ale management s tím nechtěl mít nic společného. Brzy se dostavilo zklamání a všech pět jich Union Cerrajera opustilo, aby začali pracovat na svém vlastním projektu. V letech 1955-56 založili podnik, který vyráběl jednoduchá topná tělesa a nazvali ho Ulgor, což byla zkratka tvořená počátečními písmeny jejich příjmení. Ulgor při svém založení v roce 1955 neměl žádné formální družstevní struktury, ale opět s pomocí Arizmendiarritetova průzkumu a jednání s vládními úředníky se podařilo vytvořit a formalizovat během několika příštích let strukturu družstevní korporace.</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Koncem 50. let a počátkem 60. let minulého století se španělská ekonomika výrazně zotavila z devastace a izolace občanské a po, z dnešního pohledu, neuvážených krocích realizovaných frankovým režimem po druhé světové válce. Obyvatelé šetřili a zvyšovali se jim disponibilní příjmy. Nově vzniklé podniky našli relativně dobrý místní a regionální odbytiště pro své zboží a Ulgor nebyl žádnou výjimkou. Co víc, španělský trh byl během frankistického režimu chráněn vysokým clem. Vysoké clo drželo většinu zahraničního zboží z dosahu mnohých spotřebitelů, ale relativně otevřená tržní ekonomika ve Španělsku vytvořila značnou možnost pro růst konkurence. A tak se nová družstva Mondragonu mohla usadit a dostát jisté obchodní zralosti v relativně bezpečném ekonomickém prostředí.</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Ulgor zažil značný úspěch, stejně jako mnoho jiných firem, které byly vytvořeny přáteli, spolupracovníky nebo jinými osobami, kteří následovali jejich příklad. Ve skutečnosti netrvalo dlouho a ve skupině došlo k rychlé diverzifikaci od domácích spotřebičů ke kovaným a slévárenským výrobkům, elektrickým a průmyslovým komponentům a obráběcím strojům. Tato diverzifikace nesmírně pomohla v pozdějších letech. V případě, že byl dosažen spodní bod obratu nebo došlo k nějakým jiným problémům, pracovníci-členové mohli podle potřeby přejít z jedné společnosti do druhé.</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Ještě jeden fenomén nejspíš pomohl v tomto historickém kontextu založit nové podniky. Převládající ekonomické podmínky ve Španělsku a tolerance katolické církve v rámci Frankova režimu, významně napomohlo úspěchu mondragoského družstva během 50. a 60. let. Stručně řečeno, celá řada různých vlivů přispěla k úspěšnému založení první družstevní společnosti v Mandragonu: charismatický vůdce pracující v prostředí s velmi silnou průmyslovou tradicí; rostoucí tržní ekonomika chráněná clem; a v neposlední řadě sociální reakce, které měli snahu rozvíjet oblasti se sociální a ekonomickou autonomií na Frankově autoritativním režimu. Všechno toto, spolu s efektivními obchodními operacemi zajistilo podnikům Mondragon ziskovou marži během prvních desetiletí nebo i déle. Podniky se mohli etablovat; skupina byla schopna financovat značnou část svého růstu z výdělku a novým institucím se dostávalo potřebné podpory, aby se postavily na vlastní nohy.</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lastRenderedPageBreak/>
        <w:t>I přes dobré výdělky v prvních letech Arizmendiarrieta brzy skupinu přesvědčil, aby si zajistila přímý zdroj kapitálu – svou vlastní družstevní banku – a v roce 1959 jim pomohl založit Caja Laboral Popular (Lidová banka pracujících). Jeho následovníci s tím zpočátku nesouhlasili, cítili se přepracováni, protože museli zkonsolidovat své nové podniky, ale kněz je nakonec přesvědčil. Caja Laboral hrála klíčovou roli v rozvoji družstev v průběhu další generace. V příštích letech byl založen značný počet dalších podpůrných institucí a často, alespoň z části, z podnětu Arizmendiarriety.</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Arizmendiarrieta pracoval na polytechnické škole a nadále ovlivňoval dění v družstvu a to až do své smrti roku 1976. Jeho život a myšlenky jsou pravidelně oslavovány v rámci mondragonské sítě a řadou jejích členů.</w:t>
      </w:r>
    </w:p>
    <w:bookmarkStart w:id="1" w:name="_ftn1"/>
    <w:p w:rsidR="00FF5CE6" w:rsidRPr="00FF5CE6" w:rsidRDefault="00E416BB"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fldChar w:fldCharType="begin"/>
      </w:r>
      <w:r w:rsidR="00FF5CE6" w:rsidRPr="00FF5CE6">
        <w:rPr>
          <w:rFonts w:ascii="Times New Roman" w:eastAsia="Times New Roman" w:hAnsi="Times New Roman" w:cs="Times New Roman"/>
          <w:sz w:val="24"/>
          <w:szCs w:val="24"/>
          <w:lang w:eastAsia="sk-SK"/>
        </w:rPr>
        <w:instrText xml:space="preserve"> HYPERLINK "http://www.maussen.eu/cs/2015/10/15/3-2-mondragonska-druzstevni-korporace-mcc-3-2-1-historicky-vyvoj-mondragonskych-druzstev-a-otec-arizmendiarrieta/index.htm" \l "_ftnref1" </w:instrText>
      </w:r>
      <w:r w:rsidRPr="00FF5CE6">
        <w:rPr>
          <w:rFonts w:ascii="Times New Roman" w:eastAsia="Times New Roman" w:hAnsi="Times New Roman" w:cs="Times New Roman"/>
          <w:sz w:val="24"/>
          <w:szCs w:val="24"/>
          <w:lang w:eastAsia="sk-SK"/>
        </w:rPr>
        <w:fldChar w:fldCharType="separate"/>
      </w:r>
      <w:r w:rsidR="00FF5CE6" w:rsidRPr="00FF5CE6">
        <w:rPr>
          <w:rFonts w:ascii="Times New Roman" w:eastAsia="Times New Roman" w:hAnsi="Times New Roman" w:cs="Times New Roman"/>
          <w:color w:val="BC360A"/>
          <w:sz w:val="24"/>
          <w:szCs w:val="24"/>
          <w:lang w:eastAsia="sk-SK"/>
        </w:rPr>
        <w:t>[1]</w:t>
      </w:r>
      <w:r w:rsidRPr="00FF5CE6">
        <w:rPr>
          <w:rFonts w:ascii="Times New Roman" w:eastAsia="Times New Roman" w:hAnsi="Times New Roman" w:cs="Times New Roman"/>
          <w:sz w:val="24"/>
          <w:szCs w:val="24"/>
          <w:lang w:eastAsia="sk-SK"/>
        </w:rPr>
        <w:fldChar w:fldCharType="end"/>
      </w:r>
      <w:bookmarkEnd w:id="1"/>
      <w:r w:rsidR="00FF5CE6" w:rsidRPr="00FF5CE6">
        <w:rPr>
          <w:rFonts w:ascii="Times New Roman" w:eastAsia="Times New Roman" w:hAnsi="Times New Roman" w:cs="Times New Roman"/>
          <w:sz w:val="24"/>
          <w:szCs w:val="24"/>
          <w:lang w:eastAsia="sk-SK"/>
        </w:rPr>
        <w:t> Generational Perspectives on Employee Ownership: The Relationship between Age and Satisfaction with Cooperative ownership in Mondragón by Frederick M. Freundlich, 2009</w:t>
      </w:r>
    </w:p>
    <w:p w:rsidR="00FF5CE6" w:rsidRPr="00FF5CE6" w:rsidRDefault="00FF5CE6" w:rsidP="00FF5CE6">
      <w:pPr>
        <w:spacing w:before="495" w:after="495" w:line="240" w:lineRule="auto"/>
        <w:outlineLvl w:val="0"/>
        <w:rPr>
          <w:rFonts w:ascii="Georgia" w:eastAsia="Times New Roman" w:hAnsi="Georgia" w:cs="Times New Roman"/>
          <w:b/>
          <w:bCs/>
          <w:kern w:val="36"/>
          <w:sz w:val="72"/>
          <w:szCs w:val="72"/>
          <w:lang w:eastAsia="sk-SK"/>
        </w:rPr>
      </w:pPr>
      <w:r w:rsidRPr="00FF5CE6">
        <w:rPr>
          <w:rFonts w:ascii="Georgia" w:eastAsia="Times New Roman" w:hAnsi="Georgia" w:cs="Times New Roman"/>
          <w:b/>
          <w:bCs/>
          <w:kern w:val="36"/>
          <w:sz w:val="72"/>
          <w:szCs w:val="72"/>
          <w:lang w:eastAsia="sk-SK"/>
        </w:rPr>
        <w:t>Navigace pro příspěvek</w:t>
      </w:r>
    </w:p>
    <w:p w:rsidR="00FF5CE6" w:rsidRPr="00FF5CE6" w:rsidRDefault="00E416BB" w:rsidP="00FF5CE6">
      <w:pPr>
        <w:spacing w:after="0" w:line="240" w:lineRule="auto"/>
        <w:rPr>
          <w:rFonts w:ascii="Times New Roman" w:eastAsia="Times New Roman" w:hAnsi="Times New Roman" w:cs="Times New Roman"/>
          <w:sz w:val="24"/>
          <w:szCs w:val="24"/>
          <w:lang w:eastAsia="sk-SK"/>
        </w:rPr>
      </w:pPr>
      <w:hyperlink r:id="rId23" w:history="1">
        <w:r w:rsidR="00FF5CE6" w:rsidRPr="00FF5CE6">
          <w:rPr>
            <w:rFonts w:ascii="Times New Roman" w:eastAsia="Times New Roman" w:hAnsi="Times New Roman" w:cs="Times New Roman"/>
            <w:color w:val="BC360A"/>
            <w:sz w:val="24"/>
            <w:szCs w:val="24"/>
            <w:lang w:eastAsia="sk-SK"/>
          </w:rPr>
          <w:t>← 3.2 Mondragonská družstevní korporace (MCC), 3.2.2 Mondragonská družstva: aktuální velikost a rozsah</w:t>
        </w:r>
      </w:hyperlink>
      <w:hyperlink r:id="rId24" w:history="1">
        <w:r w:rsidR="00FF5CE6" w:rsidRPr="00FF5CE6">
          <w:rPr>
            <w:rFonts w:ascii="Times New Roman" w:eastAsia="Times New Roman" w:hAnsi="Times New Roman" w:cs="Times New Roman"/>
            <w:color w:val="BC360A"/>
            <w:sz w:val="24"/>
            <w:szCs w:val="24"/>
            <w:lang w:eastAsia="sk-SK"/>
          </w:rPr>
          <w:t>3.1 Popis Baskicka →</w:t>
        </w:r>
      </w:hyperlink>
    </w:p>
    <w:p w:rsidR="008B17ED" w:rsidRDefault="008B17ED" w:rsidP="00FF5CE6"/>
    <w:p w:rsidR="00FF5CE6" w:rsidRDefault="00FF5CE6" w:rsidP="00FF5CE6"/>
    <w:p w:rsidR="00FF5CE6" w:rsidRDefault="00FF5CE6" w:rsidP="00FF5CE6"/>
    <w:p w:rsidR="00FF5CE6" w:rsidRDefault="00FF5CE6" w:rsidP="00FF5CE6"/>
    <w:p w:rsidR="00FF5CE6" w:rsidRDefault="00FF5CE6" w:rsidP="00FF5CE6"/>
    <w:p w:rsidR="00FF5CE6" w:rsidRDefault="00FF5CE6" w:rsidP="00FF5CE6"/>
    <w:p w:rsidR="00FF5CE6" w:rsidRDefault="00FF5CE6" w:rsidP="00FF5CE6"/>
    <w:p w:rsidR="00FF5CE6" w:rsidRDefault="00FF5CE6" w:rsidP="00FF5CE6"/>
    <w:p w:rsidR="00FF5CE6" w:rsidRDefault="00FF5CE6" w:rsidP="00FF5CE6"/>
    <w:p w:rsidR="00FF5CE6" w:rsidRDefault="00FF5CE6" w:rsidP="00FF5CE6"/>
    <w:p w:rsidR="00FF5CE6" w:rsidRDefault="00FF5CE6" w:rsidP="00FF5CE6"/>
    <w:p w:rsidR="00FF5CE6" w:rsidRPr="00FF5CE6" w:rsidRDefault="00E416BB" w:rsidP="00FF5CE6">
      <w:pPr>
        <w:spacing w:after="75" w:line="240" w:lineRule="auto"/>
        <w:outlineLvl w:val="0"/>
        <w:rPr>
          <w:rFonts w:ascii="Georgia" w:eastAsia="Times New Roman" w:hAnsi="Georgia" w:cs="Times New Roman"/>
          <w:kern w:val="36"/>
          <w:sz w:val="72"/>
          <w:szCs w:val="72"/>
          <w:lang w:eastAsia="sk-SK"/>
        </w:rPr>
      </w:pPr>
      <w:hyperlink r:id="rId25" w:history="1">
        <w:r w:rsidR="00FF5CE6" w:rsidRPr="00FF5CE6">
          <w:rPr>
            <w:rFonts w:ascii="Georgia" w:eastAsia="Times New Roman" w:hAnsi="Georgia" w:cs="Times New Roman"/>
            <w:color w:val="141412"/>
            <w:kern w:val="36"/>
            <w:sz w:val="72"/>
            <w:lang w:eastAsia="sk-SK"/>
          </w:rPr>
          <w:t>Motto</w:t>
        </w:r>
      </w:hyperlink>
    </w:p>
    <w:p w:rsidR="00FF5CE6" w:rsidRPr="00FF5CE6" w:rsidRDefault="00E416BB" w:rsidP="00FF5CE6">
      <w:pPr>
        <w:spacing w:after="0" w:line="240" w:lineRule="auto"/>
        <w:rPr>
          <w:rFonts w:ascii="Times New Roman" w:eastAsia="Times New Roman" w:hAnsi="Times New Roman" w:cs="Times New Roman"/>
          <w:sz w:val="21"/>
          <w:szCs w:val="21"/>
          <w:lang w:eastAsia="sk-SK"/>
        </w:rPr>
      </w:pPr>
      <w:hyperlink r:id="rId26" w:tooltip="Trvalý odkaz na Motto" w:history="1">
        <w:r w:rsidR="00FF5CE6" w:rsidRPr="00FF5CE6">
          <w:rPr>
            <w:rFonts w:ascii="Times New Roman" w:eastAsia="Times New Roman" w:hAnsi="Times New Roman" w:cs="Times New Roman"/>
            <w:color w:val="BC360A"/>
            <w:sz w:val="21"/>
            <w:lang w:eastAsia="sk-SK"/>
          </w:rPr>
          <w:t>Říjen 15, 2015</w:t>
        </w:r>
      </w:hyperlink>
      <w:hyperlink r:id="rId27" w:history="1">
        <w:r w:rsidR="00FF5CE6" w:rsidRPr="00FF5CE6">
          <w:rPr>
            <w:rFonts w:ascii="Times New Roman" w:eastAsia="Times New Roman" w:hAnsi="Times New Roman" w:cs="Times New Roman"/>
            <w:color w:val="BC360A"/>
            <w:sz w:val="21"/>
            <w:lang w:eastAsia="sk-SK"/>
          </w:rPr>
          <w:t>JAK PODPOŘIT PODNIKÁNÍ V ČESKÉ REPUBLICE POMOCÍ FINANČNÍ SPOLUÚČASTI ZAMĚSTNANCŮ?</w:t>
        </w:r>
      </w:hyperlink>
      <w:r w:rsidR="00FF5CE6" w:rsidRPr="00FF5CE6">
        <w:rPr>
          <w:rFonts w:ascii="Times New Roman" w:eastAsia="Times New Roman" w:hAnsi="Times New Roman" w:cs="Times New Roman"/>
          <w:sz w:val="21"/>
          <w:lang w:eastAsia="sk-SK"/>
        </w:rPr>
        <w:t>, </w:t>
      </w:r>
      <w:hyperlink r:id="rId28" w:history="1">
        <w:r w:rsidR="00FF5CE6" w:rsidRPr="00FF5CE6">
          <w:rPr>
            <w:rFonts w:ascii="Times New Roman" w:eastAsia="Times New Roman" w:hAnsi="Times New Roman" w:cs="Times New Roman"/>
            <w:color w:val="BC360A"/>
            <w:sz w:val="21"/>
            <w:lang w:eastAsia="sk-SK"/>
          </w:rPr>
          <w:t>MÝTUS MONDRAGONU</w:t>
        </w:r>
      </w:hyperlink>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i/>
          <w:iCs/>
          <w:sz w:val="24"/>
          <w:szCs w:val="24"/>
          <w:lang w:eastAsia="sk-SK"/>
        </w:rPr>
        <w:lastRenderedPageBreak/>
        <w:t>“Musíme si vybrat. Můžeme mít demokracii v této zemi nebo můžeme mít velké bohatství koncentrované v rukách několika vyvolených, ale nemůžeme mít obojí.” Louis D. Brandejs (1856-1941), americký právník a soudce Nejvyššího soudu USA.</w:t>
      </w:r>
    </w:p>
    <w:p w:rsidR="00FF5CE6" w:rsidRPr="00FF5CE6" w:rsidRDefault="00E416BB" w:rsidP="00FF5CE6">
      <w:pPr>
        <w:spacing w:after="0" w:line="240" w:lineRule="auto"/>
        <w:rPr>
          <w:rFonts w:ascii="Times New Roman" w:eastAsia="Times New Roman" w:hAnsi="Times New Roman" w:cs="Times New Roman"/>
          <w:sz w:val="24"/>
          <w:szCs w:val="24"/>
          <w:lang w:eastAsia="sk-SK"/>
        </w:rPr>
      </w:pPr>
      <w:hyperlink r:id="rId29" w:anchor="respond" w:history="1">
        <w:r w:rsidR="00FF5CE6" w:rsidRPr="00FF5CE6">
          <w:rPr>
            <w:rFonts w:ascii="Times New Roman" w:eastAsia="Times New Roman" w:hAnsi="Times New Roman" w:cs="Times New Roman"/>
            <w:color w:val="BC360A"/>
            <w:sz w:val="24"/>
            <w:szCs w:val="24"/>
            <w:lang w:eastAsia="sk-SK"/>
          </w:rPr>
          <w:t>Napsat komentář</w:t>
        </w:r>
      </w:hyperlink>
    </w:p>
    <w:p w:rsidR="00FF5CE6" w:rsidRPr="00FF5CE6" w:rsidRDefault="00E416BB" w:rsidP="00FF5CE6">
      <w:pPr>
        <w:spacing w:after="75" w:line="240" w:lineRule="auto"/>
        <w:outlineLvl w:val="0"/>
        <w:rPr>
          <w:rFonts w:ascii="Georgia" w:eastAsia="Times New Roman" w:hAnsi="Georgia" w:cs="Times New Roman"/>
          <w:kern w:val="36"/>
          <w:sz w:val="72"/>
          <w:szCs w:val="72"/>
          <w:lang w:eastAsia="sk-SK"/>
        </w:rPr>
      </w:pPr>
      <w:hyperlink r:id="rId30" w:history="1">
        <w:r w:rsidR="00FF5CE6" w:rsidRPr="00FF5CE6">
          <w:rPr>
            <w:rFonts w:ascii="Georgia" w:eastAsia="Times New Roman" w:hAnsi="Georgia" w:cs="Times New Roman"/>
            <w:color w:val="141412"/>
            <w:kern w:val="36"/>
            <w:sz w:val="72"/>
            <w:lang w:eastAsia="sk-SK"/>
          </w:rPr>
          <w:t>1. Úvodní slovo</w:t>
        </w:r>
      </w:hyperlink>
    </w:p>
    <w:p w:rsidR="00FF5CE6" w:rsidRPr="00FF5CE6" w:rsidRDefault="00E416BB" w:rsidP="00FF5CE6">
      <w:pPr>
        <w:spacing w:after="0" w:line="240" w:lineRule="auto"/>
        <w:rPr>
          <w:rFonts w:ascii="Times New Roman" w:eastAsia="Times New Roman" w:hAnsi="Times New Roman" w:cs="Times New Roman"/>
          <w:sz w:val="21"/>
          <w:szCs w:val="21"/>
          <w:lang w:eastAsia="sk-SK"/>
        </w:rPr>
      </w:pPr>
      <w:hyperlink r:id="rId31" w:tooltip="Trvalý odkaz na 1. Úvodní slovo" w:history="1">
        <w:r w:rsidR="00FF5CE6" w:rsidRPr="00FF5CE6">
          <w:rPr>
            <w:rFonts w:ascii="Times New Roman" w:eastAsia="Times New Roman" w:hAnsi="Times New Roman" w:cs="Times New Roman"/>
            <w:color w:val="BC360A"/>
            <w:sz w:val="21"/>
            <w:lang w:eastAsia="sk-SK"/>
          </w:rPr>
          <w:t>Říjen 15, 2015</w:t>
        </w:r>
      </w:hyperlink>
      <w:hyperlink r:id="rId32" w:history="1">
        <w:r w:rsidR="00FF5CE6" w:rsidRPr="00FF5CE6">
          <w:rPr>
            <w:rFonts w:ascii="Times New Roman" w:eastAsia="Times New Roman" w:hAnsi="Times New Roman" w:cs="Times New Roman"/>
            <w:color w:val="BC360A"/>
            <w:sz w:val="21"/>
            <w:lang w:eastAsia="sk-SK"/>
          </w:rPr>
          <w:t>JAK PODPOŘIT PODNIKÁNÍ V ČESKÉ REPUBLICE POMOCÍ FINANČNÍ SPOLUÚČASTI ZAMĚSTNANCŮ?</w:t>
        </w:r>
      </w:hyperlink>
      <w:r w:rsidR="00FF5CE6" w:rsidRPr="00FF5CE6">
        <w:rPr>
          <w:rFonts w:ascii="Times New Roman" w:eastAsia="Times New Roman" w:hAnsi="Times New Roman" w:cs="Times New Roman"/>
          <w:sz w:val="21"/>
          <w:lang w:eastAsia="sk-SK"/>
        </w:rPr>
        <w:t>, </w:t>
      </w:r>
      <w:hyperlink r:id="rId33" w:history="1">
        <w:r w:rsidR="00FF5CE6" w:rsidRPr="00FF5CE6">
          <w:rPr>
            <w:rFonts w:ascii="Times New Roman" w:eastAsia="Times New Roman" w:hAnsi="Times New Roman" w:cs="Times New Roman"/>
            <w:color w:val="BC360A"/>
            <w:sz w:val="21"/>
            <w:lang w:eastAsia="sk-SK"/>
          </w:rPr>
          <w:t>MÝTUS MONDRAGONU</w:t>
        </w:r>
      </w:hyperlink>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Po dobu několik let, především v letech 2008-2012, svírá Evropu velká krize, která zasáhla především jižní země a Irsko. Analytikové spekulují o jejích důvodech a délce, ale i když to už občas vypadá, že se ekonomiky vzpamatovávají, čísla stále nerostou tak stabilně a kontinuálně, aby se dalo s jistotou tvrdit, že země jsou na dobré cestě k oživení. Problém tkví v tom, že nejde o cyklickou krizi, ale systematickou krizi lidských a sociálních hodnot jako jsou chamtivost a závodění jak mezi jednotlivci, tak mezi sociálními skupinami. Kořeny leží v samotných politických, sociálních a ekonomických procesech, jako jsou například vliv globalizace na národní modely kapitalismu a sociálních států či ve způsobu řízení Evropy. A jestli s tím chceme něco udělat, musíme se začít na tyto hodnoty dívat jinak.</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Jen pro ilustraci, na Světovém ekonomickém fóru v Davosu v roce 2014 byla prezentována čísla z nové zprávy Oxfam’s International týkající se “vzrůstající nerovnosti” nazývané “Working for the Few” (Práce pro pár vyvolených). Ve zprávě se říká: “Téměř polovina světového bohatství je nyní v rukou pouhého jednoho procenta populace a 85 nejbohatších lidí na světě vlastní tolik, kolik 3,5 milionu těch nejchudších.” Samozřejmě tento problém se týká celého světa. Ale jsou velmi relevantní i v Evropské unii. Posledních 20 let radikálních reforem evropského právního a ekonomického uspořádání v rámci rozšiřování EU směrem na východ, společně s privatizací a globalizací, vedlo nejen k ekonomické prosperitě, ale také k rozevírání sociálních nůžek. Zatímco zisky podniků více než deset let prudce rostly, platy stagnovaly a ekonomické životy mnoha lidí byly ponechány v nejistotě. Je třeba zabývat se problémem rostoucího rozdílu mezi těmi několika bohatými lidmi a mezi takzvanými “chudými pracujícími” (tj. lidmi, kteří pracují, ale jejich platy jsou tak nízké, že neuživí ani sebe, ani svoji rodinu).</w:t>
      </w:r>
      <w:hyperlink r:id="rId34" w:anchor="_ftn1" w:history="1">
        <w:r w:rsidRPr="00FF5CE6">
          <w:rPr>
            <w:rFonts w:ascii="Times New Roman" w:eastAsia="Times New Roman" w:hAnsi="Times New Roman" w:cs="Times New Roman"/>
            <w:color w:val="BC360A"/>
            <w:sz w:val="24"/>
            <w:szCs w:val="24"/>
            <w:lang w:eastAsia="sk-SK"/>
          </w:rPr>
          <w:t>[1]</w:t>
        </w:r>
      </w:hyperlink>
    </w:p>
    <w:p w:rsidR="00FF5CE6" w:rsidRPr="00FF5CE6" w:rsidRDefault="00E416BB" w:rsidP="00FF5CE6">
      <w:pPr>
        <w:spacing w:after="360" w:line="240" w:lineRule="auto"/>
        <w:rPr>
          <w:rFonts w:ascii="Times New Roman" w:eastAsia="Times New Roman" w:hAnsi="Times New Roman" w:cs="Times New Roman"/>
          <w:sz w:val="24"/>
          <w:szCs w:val="24"/>
          <w:lang w:eastAsia="sk-SK"/>
        </w:rPr>
      </w:pPr>
      <w:hyperlink r:id="rId35" w:anchor="_ftnref1" w:history="1">
        <w:r w:rsidR="00FF5CE6" w:rsidRPr="00FF5CE6">
          <w:rPr>
            <w:rFonts w:ascii="Times New Roman" w:eastAsia="Times New Roman" w:hAnsi="Times New Roman" w:cs="Times New Roman"/>
            <w:color w:val="BC360A"/>
            <w:sz w:val="24"/>
            <w:szCs w:val="24"/>
            <w:lang w:eastAsia="sk-SK"/>
          </w:rPr>
          <w:t>[1]</w:t>
        </w:r>
      </w:hyperlink>
      <w:r w:rsidR="00FF5CE6" w:rsidRPr="00FF5CE6">
        <w:rPr>
          <w:rFonts w:ascii="Times New Roman" w:eastAsia="Times New Roman" w:hAnsi="Times New Roman" w:cs="Times New Roman"/>
          <w:sz w:val="24"/>
          <w:szCs w:val="24"/>
          <w:lang w:eastAsia="sk-SK"/>
        </w:rPr>
        <w:t> [1] The Social Economy in the European Union, Report drawn for the European Economic and Social Committee by the International Centre of Research and Information on the Public, Social and Cooperative Economy (CIRIEC), Jose Luis Monzon &amp; Rafael Chaves, 2012</w:t>
      </w:r>
    </w:p>
    <w:p w:rsidR="00FF5CE6" w:rsidRDefault="00FF5CE6" w:rsidP="00FF5CE6"/>
    <w:p w:rsidR="00FF5CE6" w:rsidRDefault="00FF5CE6" w:rsidP="00FF5CE6"/>
    <w:p w:rsidR="00FF5CE6" w:rsidRDefault="00FF5CE6" w:rsidP="00FF5CE6"/>
    <w:p w:rsidR="00FF5CE6" w:rsidRDefault="00FF5CE6" w:rsidP="00FF5CE6"/>
    <w:p w:rsidR="00FF5CE6" w:rsidRDefault="00FF5CE6" w:rsidP="00FF5CE6"/>
    <w:p w:rsidR="00FF5CE6" w:rsidRDefault="00FF5CE6" w:rsidP="00FF5CE6"/>
    <w:p w:rsidR="00FF5CE6" w:rsidRPr="00FF5CE6" w:rsidRDefault="00E416BB" w:rsidP="00FF5CE6">
      <w:pPr>
        <w:spacing w:after="75" w:line="240" w:lineRule="auto"/>
        <w:outlineLvl w:val="0"/>
        <w:rPr>
          <w:rFonts w:ascii="Georgia" w:eastAsia="Times New Roman" w:hAnsi="Georgia" w:cs="Times New Roman"/>
          <w:kern w:val="36"/>
          <w:sz w:val="72"/>
          <w:szCs w:val="72"/>
          <w:lang w:eastAsia="sk-SK"/>
        </w:rPr>
      </w:pPr>
      <w:hyperlink r:id="rId36" w:history="1">
        <w:r w:rsidR="00FF5CE6" w:rsidRPr="00FF5CE6">
          <w:rPr>
            <w:rFonts w:ascii="Georgia" w:eastAsia="Times New Roman" w:hAnsi="Georgia" w:cs="Times New Roman"/>
            <w:color w:val="141412"/>
            <w:kern w:val="36"/>
            <w:sz w:val="72"/>
            <w:lang w:eastAsia="sk-SK"/>
          </w:rPr>
          <w:t>Prezentace / zaměstnanecká participace</w:t>
        </w:r>
      </w:hyperlink>
    </w:p>
    <w:p w:rsidR="00FF5CE6" w:rsidRPr="00FF5CE6" w:rsidRDefault="00E416BB" w:rsidP="00FF5CE6">
      <w:pPr>
        <w:spacing w:after="0" w:line="240" w:lineRule="auto"/>
        <w:rPr>
          <w:rFonts w:ascii="Times New Roman" w:eastAsia="Times New Roman" w:hAnsi="Times New Roman" w:cs="Times New Roman"/>
          <w:sz w:val="21"/>
          <w:szCs w:val="21"/>
          <w:lang w:eastAsia="sk-SK"/>
        </w:rPr>
      </w:pPr>
      <w:hyperlink r:id="rId37" w:tooltip="Trvalý odkaz na Prezentace / zaměstnanecká participace" w:history="1">
        <w:r w:rsidR="00FF5CE6" w:rsidRPr="00FF5CE6">
          <w:rPr>
            <w:rFonts w:ascii="Times New Roman" w:eastAsia="Times New Roman" w:hAnsi="Times New Roman" w:cs="Times New Roman"/>
            <w:color w:val="BC360A"/>
            <w:sz w:val="21"/>
            <w:lang w:eastAsia="sk-SK"/>
          </w:rPr>
          <w:t>Únor 19, 2016</w:t>
        </w:r>
      </w:hyperlink>
      <w:hyperlink r:id="rId38" w:history="1">
        <w:r w:rsidR="00FF5CE6" w:rsidRPr="00FF5CE6">
          <w:rPr>
            <w:rFonts w:ascii="Times New Roman" w:eastAsia="Times New Roman" w:hAnsi="Times New Roman" w:cs="Times New Roman"/>
            <w:color w:val="BC360A"/>
            <w:sz w:val="21"/>
            <w:lang w:eastAsia="sk-SK"/>
          </w:rPr>
          <w:t>MÝTUS MONDRAGONU</w:t>
        </w:r>
      </w:hyperlink>
      <w:hyperlink r:id="rId39" w:history="1">
        <w:r w:rsidR="00FF5CE6" w:rsidRPr="00FF5CE6">
          <w:rPr>
            <w:rFonts w:ascii="Times New Roman" w:eastAsia="Times New Roman" w:hAnsi="Times New Roman" w:cs="Times New Roman"/>
            <w:color w:val="BC360A"/>
            <w:sz w:val="21"/>
            <w:lang w:eastAsia="sk-SK"/>
          </w:rPr>
          <w:t>Prezentace</w:t>
        </w:r>
      </w:hyperlink>
    </w:p>
    <w:p w:rsidR="00FF5CE6" w:rsidRPr="00FF5CE6" w:rsidRDefault="00E416BB" w:rsidP="00FF5CE6">
      <w:pPr>
        <w:spacing w:after="360" w:line="240" w:lineRule="auto"/>
        <w:rPr>
          <w:rFonts w:ascii="Times New Roman" w:eastAsia="Times New Roman" w:hAnsi="Times New Roman" w:cs="Times New Roman"/>
          <w:sz w:val="24"/>
          <w:szCs w:val="24"/>
          <w:lang w:eastAsia="sk-SK"/>
        </w:rPr>
      </w:pPr>
      <w:hyperlink r:id="rId40" w:history="1">
        <w:r w:rsidR="00FF5CE6" w:rsidRPr="00FF5CE6">
          <w:rPr>
            <w:rFonts w:ascii="Times New Roman" w:eastAsia="Times New Roman" w:hAnsi="Times New Roman" w:cs="Times New Roman"/>
            <w:color w:val="BC360A"/>
            <w:sz w:val="24"/>
            <w:szCs w:val="24"/>
            <w:lang w:eastAsia="sk-SK"/>
          </w:rPr>
          <w:t>Finanční spoluúčast zaměstnanců (FSZ) – Současné evropské iniciativy</w:t>
        </w:r>
      </w:hyperlink>
    </w:p>
    <w:p w:rsidR="00FF5CE6" w:rsidRPr="00FF5CE6" w:rsidRDefault="00E416BB" w:rsidP="00FF5CE6">
      <w:pPr>
        <w:spacing w:after="360" w:line="240" w:lineRule="auto"/>
        <w:rPr>
          <w:rFonts w:ascii="Times New Roman" w:eastAsia="Times New Roman" w:hAnsi="Times New Roman" w:cs="Times New Roman"/>
          <w:sz w:val="24"/>
          <w:szCs w:val="24"/>
          <w:lang w:eastAsia="sk-SK"/>
        </w:rPr>
      </w:pPr>
      <w:hyperlink r:id="rId41" w:history="1">
        <w:r w:rsidR="00FF5CE6" w:rsidRPr="00FF5CE6">
          <w:rPr>
            <w:rFonts w:ascii="Times New Roman" w:eastAsia="Times New Roman" w:hAnsi="Times New Roman" w:cs="Times New Roman"/>
            <w:color w:val="BC360A"/>
            <w:sz w:val="24"/>
            <w:szCs w:val="24"/>
            <w:lang w:eastAsia="sk-SK"/>
          </w:rPr>
          <w:t>MONDRAGON – Příklad dobré praxe</w:t>
        </w:r>
      </w:hyperlink>
    </w:p>
    <w:p w:rsidR="00FF5CE6" w:rsidRPr="00FF5CE6" w:rsidRDefault="00E416BB" w:rsidP="00FF5CE6">
      <w:pPr>
        <w:spacing w:after="0" w:line="240" w:lineRule="auto"/>
        <w:rPr>
          <w:rFonts w:ascii="Times New Roman" w:eastAsia="Times New Roman" w:hAnsi="Times New Roman" w:cs="Times New Roman"/>
          <w:sz w:val="24"/>
          <w:szCs w:val="24"/>
          <w:lang w:eastAsia="sk-SK"/>
        </w:rPr>
      </w:pPr>
      <w:hyperlink r:id="rId42" w:anchor="respond" w:history="1">
        <w:r w:rsidR="00FF5CE6" w:rsidRPr="00FF5CE6">
          <w:rPr>
            <w:rFonts w:ascii="Times New Roman" w:eastAsia="Times New Roman" w:hAnsi="Times New Roman" w:cs="Times New Roman"/>
            <w:color w:val="BC360A"/>
            <w:sz w:val="24"/>
            <w:szCs w:val="24"/>
            <w:lang w:eastAsia="sk-SK"/>
          </w:rPr>
          <w:t>Napsat komentář</w:t>
        </w:r>
      </w:hyperlink>
    </w:p>
    <w:p w:rsidR="00FF5CE6" w:rsidRPr="00FF5CE6" w:rsidRDefault="00E416BB" w:rsidP="00FF5CE6">
      <w:pPr>
        <w:spacing w:after="75" w:line="240" w:lineRule="auto"/>
        <w:outlineLvl w:val="0"/>
        <w:rPr>
          <w:rFonts w:ascii="Georgia" w:eastAsia="Times New Roman" w:hAnsi="Georgia" w:cs="Times New Roman"/>
          <w:kern w:val="36"/>
          <w:sz w:val="72"/>
          <w:szCs w:val="72"/>
          <w:lang w:eastAsia="sk-SK"/>
        </w:rPr>
      </w:pPr>
      <w:hyperlink r:id="rId43" w:history="1">
        <w:r w:rsidR="00FF5CE6" w:rsidRPr="00FF5CE6">
          <w:rPr>
            <w:rFonts w:ascii="Georgia" w:eastAsia="Times New Roman" w:hAnsi="Georgia" w:cs="Times New Roman"/>
            <w:color w:val="141412"/>
            <w:kern w:val="36"/>
            <w:sz w:val="72"/>
            <w:lang w:eastAsia="sk-SK"/>
          </w:rPr>
          <w:t>Motto</w:t>
        </w:r>
      </w:hyperlink>
    </w:p>
    <w:p w:rsidR="00FF5CE6" w:rsidRPr="00FF5CE6" w:rsidRDefault="00E416BB" w:rsidP="00FF5CE6">
      <w:pPr>
        <w:spacing w:after="0" w:line="240" w:lineRule="auto"/>
        <w:rPr>
          <w:rFonts w:ascii="Times New Roman" w:eastAsia="Times New Roman" w:hAnsi="Times New Roman" w:cs="Times New Roman"/>
          <w:sz w:val="21"/>
          <w:szCs w:val="21"/>
          <w:lang w:eastAsia="sk-SK"/>
        </w:rPr>
      </w:pPr>
      <w:hyperlink r:id="rId44" w:tooltip="Trvalý odkaz na Motto" w:history="1">
        <w:r w:rsidR="00FF5CE6" w:rsidRPr="00FF5CE6">
          <w:rPr>
            <w:rFonts w:ascii="Times New Roman" w:eastAsia="Times New Roman" w:hAnsi="Times New Roman" w:cs="Times New Roman"/>
            <w:color w:val="BC360A"/>
            <w:sz w:val="21"/>
            <w:lang w:eastAsia="sk-SK"/>
          </w:rPr>
          <w:t>Říjen 15, 2015</w:t>
        </w:r>
      </w:hyperlink>
      <w:hyperlink r:id="rId45" w:history="1">
        <w:r w:rsidR="00FF5CE6" w:rsidRPr="00FF5CE6">
          <w:rPr>
            <w:rFonts w:ascii="Times New Roman" w:eastAsia="Times New Roman" w:hAnsi="Times New Roman" w:cs="Times New Roman"/>
            <w:color w:val="BC360A"/>
            <w:sz w:val="21"/>
            <w:lang w:eastAsia="sk-SK"/>
          </w:rPr>
          <w:t>JAK PODPOŘIT PODNIKÁNÍ V ČESKÉ REPUBLICE POMOCÍ FINANČNÍ SPOLUÚČASTI ZAMĚSTNANCŮ?</w:t>
        </w:r>
      </w:hyperlink>
      <w:r w:rsidR="00FF5CE6" w:rsidRPr="00FF5CE6">
        <w:rPr>
          <w:rFonts w:ascii="Times New Roman" w:eastAsia="Times New Roman" w:hAnsi="Times New Roman" w:cs="Times New Roman"/>
          <w:sz w:val="21"/>
          <w:lang w:eastAsia="sk-SK"/>
        </w:rPr>
        <w:t>, </w:t>
      </w:r>
      <w:hyperlink r:id="rId46" w:history="1">
        <w:r w:rsidR="00FF5CE6" w:rsidRPr="00FF5CE6">
          <w:rPr>
            <w:rFonts w:ascii="Times New Roman" w:eastAsia="Times New Roman" w:hAnsi="Times New Roman" w:cs="Times New Roman"/>
            <w:color w:val="BC360A"/>
            <w:sz w:val="21"/>
            <w:lang w:eastAsia="sk-SK"/>
          </w:rPr>
          <w:t>MÝTUS MONDRAGONU</w:t>
        </w:r>
      </w:hyperlink>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i/>
          <w:iCs/>
          <w:sz w:val="24"/>
          <w:szCs w:val="24"/>
          <w:lang w:eastAsia="sk-SK"/>
        </w:rPr>
        <w:t>“Musíme si vybrat. Můžeme mít demokracii v této zemi nebo můžeme mít velké bohatství koncentrované v rukách několika vyvolených, ale nemůžeme mít obojí.” Louis D. Brandejs (1856-1941), americký právník a soudce Nejvyššího soudu USA.</w:t>
      </w:r>
    </w:p>
    <w:p w:rsidR="00FF5CE6" w:rsidRPr="00FF5CE6" w:rsidRDefault="00E416BB" w:rsidP="00FF5CE6">
      <w:pPr>
        <w:spacing w:after="0" w:line="240" w:lineRule="auto"/>
        <w:rPr>
          <w:rFonts w:ascii="Times New Roman" w:eastAsia="Times New Roman" w:hAnsi="Times New Roman" w:cs="Times New Roman"/>
          <w:sz w:val="24"/>
          <w:szCs w:val="24"/>
          <w:lang w:eastAsia="sk-SK"/>
        </w:rPr>
      </w:pPr>
      <w:hyperlink r:id="rId47" w:anchor="respond" w:history="1">
        <w:r w:rsidR="00FF5CE6" w:rsidRPr="00FF5CE6">
          <w:rPr>
            <w:rFonts w:ascii="Times New Roman" w:eastAsia="Times New Roman" w:hAnsi="Times New Roman" w:cs="Times New Roman"/>
            <w:color w:val="BC360A"/>
            <w:sz w:val="24"/>
            <w:szCs w:val="24"/>
            <w:lang w:eastAsia="sk-SK"/>
          </w:rPr>
          <w:t>Napsat komentář</w:t>
        </w:r>
      </w:hyperlink>
    </w:p>
    <w:p w:rsidR="00FF5CE6" w:rsidRPr="00FF5CE6" w:rsidRDefault="00E416BB" w:rsidP="00FF5CE6">
      <w:pPr>
        <w:spacing w:after="75" w:line="240" w:lineRule="auto"/>
        <w:outlineLvl w:val="0"/>
        <w:rPr>
          <w:rFonts w:ascii="Georgia" w:eastAsia="Times New Roman" w:hAnsi="Georgia" w:cs="Times New Roman"/>
          <w:kern w:val="36"/>
          <w:sz w:val="72"/>
          <w:szCs w:val="72"/>
          <w:lang w:eastAsia="sk-SK"/>
        </w:rPr>
      </w:pPr>
      <w:hyperlink r:id="rId48" w:history="1">
        <w:r w:rsidR="00FF5CE6" w:rsidRPr="00FF5CE6">
          <w:rPr>
            <w:rFonts w:ascii="Georgia" w:eastAsia="Times New Roman" w:hAnsi="Georgia" w:cs="Times New Roman"/>
            <w:color w:val="141412"/>
            <w:kern w:val="36"/>
            <w:sz w:val="72"/>
            <w:lang w:eastAsia="sk-SK"/>
          </w:rPr>
          <w:t>1. Úvodní slovo</w:t>
        </w:r>
      </w:hyperlink>
    </w:p>
    <w:p w:rsidR="00FF5CE6" w:rsidRPr="00FF5CE6" w:rsidRDefault="00E416BB" w:rsidP="00FF5CE6">
      <w:pPr>
        <w:spacing w:after="0" w:line="240" w:lineRule="auto"/>
        <w:rPr>
          <w:rFonts w:ascii="Times New Roman" w:eastAsia="Times New Roman" w:hAnsi="Times New Roman" w:cs="Times New Roman"/>
          <w:sz w:val="21"/>
          <w:szCs w:val="21"/>
          <w:lang w:eastAsia="sk-SK"/>
        </w:rPr>
      </w:pPr>
      <w:hyperlink r:id="rId49" w:tooltip="Trvalý odkaz na 1. Úvodní slovo" w:history="1">
        <w:r w:rsidR="00FF5CE6" w:rsidRPr="00FF5CE6">
          <w:rPr>
            <w:rFonts w:ascii="Times New Roman" w:eastAsia="Times New Roman" w:hAnsi="Times New Roman" w:cs="Times New Roman"/>
            <w:color w:val="BC360A"/>
            <w:sz w:val="21"/>
            <w:lang w:eastAsia="sk-SK"/>
          </w:rPr>
          <w:t>Říjen 15, 2015</w:t>
        </w:r>
      </w:hyperlink>
      <w:hyperlink r:id="rId50" w:history="1">
        <w:r w:rsidR="00FF5CE6" w:rsidRPr="00FF5CE6">
          <w:rPr>
            <w:rFonts w:ascii="Times New Roman" w:eastAsia="Times New Roman" w:hAnsi="Times New Roman" w:cs="Times New Roman"/>
            <w:color w:val="BC360A"/>
            <w:sz w:val="21"/>
            <w:lang w:eastAsia="sk-SK"/>
          </w:rPr>
          <w:t>JAK PODPOŘIT PODNIKÁNÍ V ČESKÉ REPUBLICE POMOCÍ FINANČNÍ SPOLUÚČASTI ZAMĚSTNANCŮ?</w:t>
        </w:r>
      </w:hyperlink>
      <w:r w:rsidR="00FF5CE6" w:rsidRPr="00FF5CE6">
        <w:rPr>
          <w:rFonts w:ascii="Times New Roman" w:eastAsia="Times New Roman" w:hAnsi="Times New Roman" w:cs="Times New Roman"/>
          <w:sz w:val="21"/>
          <w:lang w:eastAsia="sk-SK"/>
        </w:rPr>
        <w:t>, </w:t>
      </w:r>
      <w:hyperlink r:id="rId51" w:history="1">
        <w:r w:rsidR="00FF5CE6" w:rsidRPr="00FF5CE6">
          <w:rPr>
            <w:rFonts w:ascii="Times New Roman" w:eastAsia="Times New Roman" w:hAnsi="Times New Roman" w:cs="Times New Roman"/>
            <w:color w:val="BC360A"/>
            <w:sz w:val="21"/>
            <w:lang w:eastAsia="sk-SK"/>
          </w:rPr>
          <w:t>MÝTUS MONDRAGONU</w:t>
        </w:r>
      </w:hyperlink>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Po dobu několik let, především v letech 2008-2012, svírá Evropu velká krize, která zasáhla především jižní země a Irsko. Analytikové spekulují o jejích důvodech a délce, ale i když to už občas vypadá, že se ekonomiky vzpamatovávají, čísla stále nerostou tak stabilně a kontinuálně, aby se dalo s jistotou tvrdit, že země jsou na dobré cestě k oživení. Problém tkví v tom, že nejde o cyklickou krizi, ale systematickou krizi lidských a sociálních hodnot jako jsou chamtivost a závodění jak mezi jednotlivci, tak mezi sociálními skupinami. Kořeny leží v samotných politických, sociálních a ekonomických procesech, jako jsou například vliv globalizace na národní modely kapitalismu a sociálních států či ve způsobu řízení Evropy. A jestli s tím chceme něco udělat, musíme se začít na tyto hodnoty dívat jinak.</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 xml:space="preserve">Jen pro ilustraci, na Světovém ekonomickém fóru v Davosu v roce 2014 byla prezentována čísla z nové zprávy Oxfam’s International týkající se “vzrůstající nerovnosti” nazývané “Working for the Few” (Práce pro pár vyvolených). Ve zprávě se říká: “Téměř polovina světového bohatství je nyní v rukou pouhého jednoho procenta populace a 85 nejbohatších lidí na světě vlastní tolik, kolik 3,5 milionu těch nejchudších.” Samozřejmě tento problém se týká celého světa. Ale jsou velmi relevantní i v Evropské unii. Posledních 20 let radikálních reforem evropského právního a ekonomického uspořádání v rámci rozšiřování EU směrem na východ, společně s privatizací a globalizací, vedlo nejen k ekonomické prosperitě, ale také k rozevírání sociálních nůžek. Zatímco zisky podniků více než deset let prudce rostly, platy stagnovaly a ekonomické životy mnoha lidí byly ponechány v nejistotě. Je třeba zabývat se problémem rostoucího rozdílu mezi těmi několika bohatými lidmi a mezi takzvanými </w:t>
      </w:r>
      <w:r w:rsidRPr="00FF5CE6">
        <w:rPr>
          <w:rFonts w:ascii="Times New Roman" w:eastAsia="Times New Roman" w:hAnsi="Times New Roman" w:cs="Times New Roman"/>
          <w:sz w:val="24"/>
          <w:szCs w:val="24"/>
          <w:lang w:eastAsia="sk-SK"/>
        </w:rPr>
        <w:lastRenderedPageBreak/>
        <w:t>“chudými pracujícími” (tj. lidmi, kteří pracují, ale jejich platy jsou tak nízké, že neuživí ani sebe, ani svoji rodinu).</w:t>
      </w:r>
      <w:hyperlink r:id="rId52" w:anchor="_ftn1" w:history="1">
        <w:r w:rsidRPr="00FF5CE6">
          <w:rPr>
            <w:rFonts w:ascii="Times New Roman" w:eastAsia="Times New Roman" w:hAnsi="Times New Roman" w:cs="Times New Roman"/>
            <w:color w:val="BC360A"/>
            <w:sz w:val="24"/>
            <w:szCs w:val="24"/>
            <w:lang w:eastAsia="sk-SK"/>
          </w:rPr>
          <w:t>[1]</w:t>
        </w:r>
      </w:hyperlink>
    </w:p>
    <w:p w:rsidR="00FF5CE6" w:rsidRPr="00FF5CE6" w:rsidRDefault="00E416BB" w:rsidP="00FF5CE6">
      <w:pPr>
        <w:spacing w:after="360" w:line="240" w:lineRule="auto"/>
        <w:rPr>
          <w:rFonts w:ascii="Times New Roman" w:eastAsia="Times New Roman" w:hAnsi="Times New Roman" w:cs="Times New Roman"/>
          <w:sz w:val="24"/>
          <w:szCs w:val="24"/>
          <w:lang w:eastAsia="sk-SK"/>
        </w:rPr>
      </w:pPr>
      <w:hyperlink r:id="rId53" w:anchor="_ftnref1" w:history="1">
        <w:r w:rsidR="00FF5CE6" w:rsidRPr="00FF5CE6">
          <w:rPr>
            <w:rFonts w:ascii="Times New Roman" w:eastAsia="Times New Roman" w:hAnsi="Times New Roman" w:cs="Times New Roman"/>
            <w:color w:val="BC360A"/>
            <w:sz w:val="24"/>
            <w:szCs w:val="24"/>
            <w:lang w:eastAsia="sk-SK"/>
          </w:rPr>
          <w:t>[1]</w:t>
        </w:r>
      </w:hyperlink>
      <w:r w:rsidR="00FF5CE6" w:rsidRPr="00FF5CE6">
        <w:rPr>
          <w:rFonts w:ascii="Times New Roman" w:eastAsia="Times New Roman" w:hAnsi="Times New Roman" w:cs="Times New Roman"/>
          <w:sz w:val="24"/>
          <w:szCs w:val="24"/>
          <w:lang w:eastAsia="sk-SK"/>
        </w:rPr>
        <w:t> [1] The Social Economy in the European Union, Report drawn for the European Economic and Social Committee by the International Centre of Research and Information on the Public, Social and Cooperative Economy (CIRIEC), Jose Luis Monzon &amp; Rafael Chaves, 2012</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 </w:t>
      </w:r>
    </w:p>
    <w:p w:rsidR="00FF5CE6" w:rsidRPr="00FF5CE6" w:rsidRDefault="00E416BB" w:rsidP="00FF5CE6">
      <w:pPr>
        <w:spacing w:after="0" w:line="240" w:lineRule="auto"/>
        <w:rPr>
          <w:rFonts w:ascii="Times New Roman" w:eastAsia="Times New Roman" w:hAnsi="Times New Roman" w:cs="Times New Roman"/>
          <w:sz w:val="24"/>
          <w:szCs w:val="24"/>
          <w:lang w:eastAsia="sk-SK"/>
        </w:rPr>
      </w:pPr>
      <w:hyperlink r:id="rId54" w:anchor="respond" w:history="1">
        <w:r w:rsidR="00FF5CE6" w:rsidRPr="00FF5CE6">
          <w:rPr>
            <w:rFonts w:ascii="Times New Roman" w:eastAsia="Times New Roman" w:hAnsi="Times New Roman" w:cs="Times New Roman"/>
            <w:color w:val="BC360A"/>
            <w:sz w:val="24"/>
            <w:szCs w:val="24"/>
            <w:lang w:eastAsia="sk-SK"/>
          </w:rPr>
          <w:t>Napsat komentář</w:t>
        </w:r>
      </w:hyperlink>
    </w:p>
    <w:p w:rsidR="00FF5CE6" w:rsidRPr="00FF5CE6" w:rsidRDefault="00E416BB" w:rsidP="00FF5CE6">
      <w:pPr>
        <w:spacing w:after="75" w:line="240" w:lineRule="auto"/>
        <w:outlineLvl w:val="0"/>
        <w:rPr>
          <w:rFonts w:ascii="Georgia" w:eastAsia="Times New Roman" w:hAnsi="Georgia" w:cs="Times New Roman"/>
          <w:kern w:val="36"/>
          <w:sz w:val="72"/>
          <w:szCs w:val="72"/>
          <w:lang w:eastAsia="sk-SK"/>
        </w:rPr>
      </w:pPr>
      <w:hyperlink r:id="rId55" w:history="1">
        <w:r w:rsidR="00FF5CE6" w:rsidRPr="00FF5CE6">
          <w:rPr>
            <w:rFonts w:ascii="Georgia" w:eastAsia="Times New Roman" w:hAnsi="Georgia" w:cs="Times New Roman"/>
            <w:color w:val="141412"/>
            <w:kern w:val="36"/>
            <w:sz w:val="72"/>
            <w:lang w:eastAsia="sk-SK"/>
          </w:rPr>
          <w:t>1.1 Evropská unie a finanční spoluúčast zaměstnanců</w:t>
        </w:r>
      </w:hyperlink>
    </w:p>
    <w:p w:rsidR="00FF5CE6" w:rsidRPr="00FF5CE6" w:rsidRDefault="00E416BB" w:rsidP="00FF5CE6">
      <w:pPr>
        <w:spacing w:after="0" w:line="240" w:lineRule="auto"/>
        <w:rPr>
          <w:rFonts w:ascii="Times New Roman" w:eastAsia="Times New Roman" w:hAnsi="Times New Roman" w:cs="Times New Roman"/>
          <w:sz w:val="21"/>
          <w:szCs w:val="21"/>
          <w:lang w:eastAsia="sk-SK"/>
        </w:rPr>
      </w:pPr>
      <w:hyperlink r:id="rId56" w:tooltip="Trvalý odkaz na 1.1 Evropská unie a finanční spoluúčast zaměstnanců" w:history="1">
        <w:r w:rsidR="00FF5CE6" w:rsidRPr="00FF5CE6">
          <w:rPr>
            <w:rFonts w:ascii="Times New Roman" w:eastAsia="Times New Roman" w:hAnsi="Times New Roman" w:cs="Times New Roman"/>
            <w:color w:val="BC360A"/>
            <w:sz w:val="21"/>
            <w:lang w:eastAsia="sk-SK"/>
          </w:rPr>
          <w:t>Říjen 15, 2015</w:t>
        </w:r>
      </w:hyperlink>
      <w:hyperlink r:id="rId57" w:history="1">
        <w:r w:rsidR="00FF5CE6" w:rsidRPr="00FF5CE6">
          <w:rPr>
            <w:rFonts w:ascii="Times New Roman" w:eastAsia="Times New Roman" w:hAnsi="Times New Roman" w:cs="Times New Roman"/>
            <w:color w:val="BC360A"/>
            <w:sz w:val="21"/>
            <w:lang w:eastAsia="sk-SK"/>
          </w:rPr>
          <w:t>JAK PODPOŘIT PODNIKÁNÍ V ČESKÉ REPUBLICE POMOCÍ FINANČNÍ SPOLUÚČASTI ZAMĚSTNANCŮ?</w:t>
        </w:r>
      </w:hyperlink>
      <w:r w:rsidR="00FF5CE6" w:rsidRPr="00FF5CE6">
        <w:rPr>
          <w:rFonts w:ascii="Times New Roman" w:eastAsia="Times New Roman" w:hAnsi="Times New Roman" w:cs="Times New Roman"/>
          <w:sz w:val="21"/>
          <w:lang w:eastAsia="sk-SK"/>
        </w:rPr>
        <w:t>, </w:t>
      </w:r>
      <w:hyperlink r:id="rId58" w:history="1">
        <w:r w:rsidR="00FF5CE6" w:rsidRPr="00FF5CE6">
          <w:rPr>
            <w:rFonts w:ascii="Times New Roman" w:eastAsia="Times New Roman" w:hAnsi="Times New Roman" w:cs="Times New Roman"/>
            <w:color w:val="BC360A"/>
            <w:sz w:val="21"/>
            <w:lang w:eastAsia="sk-SK"/>
          </w:rPr>
          <w:t>MÝTUS MONDRAGONU</w:t>
        </w:r>
      </w:hyperlink>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S ohledem na tato fakta je diskuze o nové reformě finanční spoluúčasti zaměstnanců (FSZ) zcela oprávněná. Evropská unie (EU) se poprvé jasně zavázala k Evropskému sociálnímu modelu, jako jednomu z pilířů politiky Evropské dohody o reformě podepsané v roce 2007 v Lisabonu. Již v roce 2006 Evropská komise (EC) uvedla ve zprávě PEPPER III (Promotion of Employee Participation in Profits and Enterpise Results, tj. Propagace spoluúčasti zaměstnanců na ziscích a výsledcích podniků – iniciativa EC od roku 1990, která se snaží propagovat finanční spoluúčast zaměstnanců ve všech členských zemích), že silnější spojení mezi platy a výsledky firem je jediný možný způsob reformování pracovního trhu.</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Jak říká Jaen Claude Juncker v úvodním slově zprávy PEPPER IV z roku 2009: “Jsme svědky množství trendů na pracovním trhu, které nastolují vážné otázky ohledně rozšiřování možností finanční participace. Mentalita typu ‚nabírání a propouštění‘ může jen sotva konkurovat dlouhodobé motivaci zaměstnanců, které lze dosáhnout kvůli jejich finanční spoluúčasti. Zaměstnávání lidí není jen o uspokojování pracovních požadavků firem, ale také o rodinném životě, dlouhodobých osobních plánech a základní jistotě, že i za tři měsíce budu schopen splácet hypotéku nebo naplánovat rodinný víkend.”</w:t>
      </w:r>
      <w:hyperlink r:id="rId59" w:anchor="_ftn1" w:history="1">
        <w:r w:rsidRPr="00FF5CE6">
          <w:rPr>
            <w:rFonts w:ascii="Times New Roman" w:eastAsia="Times New Roman" w:hAnsi="Times New Roman" w:cs="Times New Roman"/>
            <w:color w:val="BC360A"/>
            <w:sz w:val="24"/>
            <w:szCs w:val="24"/>
            <w:lang w:eastAsia="sk-SK"/>
          </w:rPr>
          <w:t>[1]</w:t>
        </w:r>
      </w:hyperlink>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Nicméně vlády obecně, stejně jako odbory či různé oborové asociace, dělají jen velmi málo proto, aby tuto myšlenku podpořili. A s tím mnohdy souvisí i absence legislativy. Proč tomu tak je?</w:t>
      </w:r>
    </w:p>
    <w:p w:rsidR="00FF5CE6" w:rsidRPr="00FF5CE6" w:rsidRDefault="00FF5CE6" w:rsidP="00FF5CE6">
      <w:pPr>
        <w:numPr>
          <w:ilvl w:val="0"/>
          <w:numId w:val="1"/>
        </w:numPr>
        <w:spacing w:before="100" w:beforeAutospacing="1" w:after="100" w:afterAutospacing="1" w:line="240" w:lineRule="auto"/>
        <w:ind w:left="0"/>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Nedostatek informací: v mnoha zemích EU se ví jen velmi málo o pozitivních výsledcích z praxe, které byly zaznamenány v rámci PEPPER ve Francii, Velké Británii a dalších zemích.</w:t>
      </w:r>
    </w:p>
    <w:p w:rsidR="00FF5CE6" w:rsidRPr="00FF5CE6" w:rsidRDefault="00FF5CE6" w:rsidP="00FF5CE6">
      <w:pPr>
        <w:numPr>
          <w:ilvl w:val="0"/>
          <w:numId w:val="1"/>
        </w:numPr>
        <w:spacing w:before="100" w:beforeAutospacing="1" w:after="100" w:afterAutospacing="1" w:line="240" w:lineRule="auto"/>
        <w:ind w:left="0"/>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PEPPER </w:t>
      </w:r>
      <w:r w:rsidRPr="00FF5CE6">
        <w:rPr>
          <w:rFonts w:ascii="Times New Roman" w:eastAsia="Times New Roman" w:hAnsi="Times New Roman" w:cs="Times New Roman"/>
          <w:b/>
          <w:bCs/>
          <w:sz w:val="24"/>
          <w:szCs w:val="24"/>
          <w:lang w:eastAsia="sk-SK"/>
        </w:rPr>
        <w:t>je odmítán z ideologických důvodů:</w:t>
      </w:r>
      <w:r w:rsidRPr="00FF5CE6">
        <w:rPr>
          <w:rFonts w:ascii="Times New Roman" w:eastAsia="Times New Roman" w:hAnsi="Times New Roman" w:cs="Times New Roman"/>
          <w:sz w:val="24"/>
          <w:szCs w:val="24"/>
          <w:lang w:eastAsia="sk-SK"/>
        </w:rPr>
        <w:t> PEPPER je zaměňován za levičácké myšlenky jako je například samospráva a není brán v úvahu a uznáván jako jeden z moderních manažerských postupů.</w:t>
      </w:r>
    </w:p>
    <w:p w:rsidR="00FF5CE6" w:rsidRPr="00FF5CE6" w:rsidRDefault="00FF5CE6" w:rsidP="00FF5CE6">
      <w:pPr>
        <w:numPr>
          <w:ilvl w:val="0"/>
          <w:numId w:val="1"/>
        </w:numPr>
        <w:spacing w:before="100" w:beforeAutospacing="1" w:after="100" w:afterAutospacing="1" w:line="240" w:lineRule="auto"/>
        <w:ind w:left="0"/>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Ekonomické podmínky nových členských zemí EU neumožnili představení PEPPER systémů a stále preferují pouze standardní zaměstnanecký poměr.</w:t>
      </w:r>
    </w:p>
    <w:p w:rsidR="00FF5CE6" w:rsidRPr="00FF5CE6" w:rsidRDefault="00E416BB" w:rsidP="00FF5CE6">
      <w:pPr>
        <w:spacing w:after="360" w:line="240" w:lineRule="auto"/>
        <w:rPr>
          <w:rFonts w:ascii="Times New Roman" w:eastAsia="Times New Roman" w:hAnsi="Times New Roman" w:cs="Times New Roman"/>
          <w:sz w:val="24"/>
          <w:szCs w:val="24"/>
          <w:lang w:eastAsia="sk-SK"/>
        </w:rPr>
      </w:pPr>
      <w:hyperlink r:id="rId60" w:anchor="_ftnref1" w:history="1">
        <w:r w:rsidR="00FF5CE6" w:rsidRPr="00FF5CE6">
          <w:rPr>
            <w:rFonts w:ascii="Times New Roman" w:eastAsia="Times New Roman" w:hAnsi="Times New Roman" w:cs="Times New Roman"/>
            <w:color w:val="BC360A"/>
            <w:sz w:val="24"/>
            <w:szCs w:val="24"/>
            <w:lang w:eastAsia="sk-SK"/>
          </w:rPr>
          <w:t>[1]</w:t>
        </w:r>
      </w:hyperlink>
      <w:r w:rsidR="00FF5CE6" w:rsidRPr="00FF5CE6">
        <w:rPr>
          <w:rFonts w:ascii="Times New Roman" w:eastAsia="Times New Roman" w:hAnsi="Times New Roman" w:cs="Times New Roman"/>
          <w:sz w:val="24"/>
          <w:szCs w:val="24"/>
          <w:lang w:eastAsia="sk-SK"/>
        </w:rPr>
        <w:t> The PEPPER IV Report: Benchmarking of Employee Participation in Profits and Enterprise Results in the Member and Candidate Countries of the European Union, Jens Lowitzsch, 2009</w:t>
      </w:r>
    </w:p>
    <w:p w:rsidR="00FF5CE6" w:rsidRPr="00FF5CE6" w:rsidRDefault="00E416BB" w:rsidP="00FF5CE6">
      <w:pPr>
        <w:spacing w:after="0" w:line="240" w:lineRule="auto"/>
        <w:rPr>
          <w:rFonts w:ascii="Times New Roman" w:eastAsia="Times New Roman" w:hAnsi="Times New Roman" w:cs="Times New Roman"/>
          <w:sz w:val="24"/>
          <w:szCs w:val="24"/>
          <w:lang w:eastAsia="sk-SK"/>
        </w:rPr>
      </w:pPr>
      <w:hyperlink r:id="rId61" w:anchor="respond" w:history="1">
        <w:r w:rsidR="00FF5CE6" w:rsidRPr="00FF5CE6">
          <w:rPr>
            <w:rFonts w:ascii="Times New Roman" w:eastAsia="Times New Roman" w:hAnsi="Times New Roman" w:cs="Times New Roman"/>
            <w:color w:val="BC360A"/>
            <w:sz w:val="24"/>
            <w:szCs w:val="24"/>
            <w:lang w:eastAsia="sk-SK"/>
          </w:rPr>
          <w:t>Napsat komentář</w:t>
        </w:r>
      </w:hyperlink>
    </w:p>
    <w:p w:rsidR="00FF5CE6" w:rsidRPr="00FF5CE6" w:rsidRDefault="00E416BB" w:rsidP="00FF5CE6">
      <w:pPr>
        <w:spacing w:after="75" w:line="240" w:lineRule="auto"/>
        <w:outlineLvl w:val="0"/>
        <w:rPr>
          <w:rFonts w:ascii="Georgia" w:eastAsia="Times New Roman" w:hAnsi="Georgia" w:cs="Times New Roman"/>
          <w:kern w:val="36"/>
          <w:sz w:val="72"/>
          <w:szCs w:val="72"/>
          <w:lang w:eastAsia="sk-SK"/>
        </w:rPr>
      </w:pPr>
      <w:hyperlink r:id="rId62" w:history="1">
        <w:r w:rsidR="00FF5CE6" w:rsidRPr="00FF5CE6">
          <w:rPr>
            <w:rFonts w:ascii="Georgia" w:eastAsia="Times New Roman" w:hAnsi="Georgia" w:cs="Times New Roman"/>
            <w:color w:val="141412"/>
            <w:kern w:val="36"/>
            <w:sz w:val="72"/>
            <w:lang w:eastAsia="sk-SK"/>
          </w:rPr>
          <w:t>1.2 Česká republika a finanční spoluúčast zaměstnanců</w:t>
        </w:r>
      </w:hyperlink>
    </w:p>
    <w:p w:rsidR="00FF5CE6" w:rsidRPr="00FF5CE6" w:rsidRDefault="00E416BB" w:rsidP="00FF5CE6">
      <w:pPr>
        <w:spacing w:after="0" w:line="240" w:lineRule="auto"/>
        <w:rPr>
          <w:rFonts w:ascii="Times New Roman" w:eastAsia="Times New Roman" w:hAnsi="Times New Roman" w:cs="Times New Roman"/>
          <w:sz w:val="21"/>
          <w:szCs w:val="21"/>
          <w:lang w:eastAsia="sk-SK"/>
        </w:rPr>
      </w:pPr>
      <w:hyperlink r:id="rId63" w:tooltip="Trvalý odkaz na 1.2        Česká republika a finanční spoluúčast zaměstnanců" w:history="1">
        <w:r w:rsidR="00FF5CE6" w:rsidRPr="00FF5CE6">
          <w:rPr>
            <w:rFonts w:ascii="Times New Roman" w:eastAsia="Times New Roman" w:hAnsi="Times New Roman" w:cs="Times New Roman"/>
            <w:color w:val="BC360A"/>
            <w:sz w:val="21"/>
            <w:lang w:eastAsia="sk-SK"/>
          </w:rPr>
          <w:t>Říjen 15, 2015</w:t>
        </w:r>
      </w:hyperlink>
      <w:hyperlink r:id="rId64" w:history="1">
        <w:r w:rsidR="00FF5CE6" w:rsidRPr="00FF5CE6">
          <w:rPr>
            <w:rFonts w:ascii="Times New Roman" w:eastAsia="Times New Roman" w:hAnsi="Times New Roman" w:cs="Times New Roman"/>
            <w:color w:val="BC360A"/>
            <w:sz w:val="21"/>
            <w:lang w:eastAsia="sk-SK"/>
          </w:rPr>
          <w:t>JAK PODPOŘIT PODNIKÁNÍ V ČESKÉ REPUBLICE POMOCÍ FINANČNÍ SPOLUÚČASTI ZAMĚSTNANCŮ?</w:t>
        </w:r>
      </w:hyperlink>
      <w:r w:rsidR="00FF5CE6" w:rsidRPr="00FF5CE6">
        <w:rPr>
          <w:rFonts w:ascii="Times New Roman" w:eastAsia="Times New Roman" w:hAnsi="Times New Roman" w:cs="Times New Roman"/>
          <w:sz w:val="21"/>
          <w:lang w:eastAsia="sk-SK"/>
        </w:rPr>
        <w:t>, </w:t>
      </w:r>
      <w:hyperlink r:id="rId65" w:history="1">
        <w:r w:rsidR="00FF5CE6" w:rsidRPr="00FF5CE6">
          <w:rPr>
            <w:rFonts w:ascii="Times New Roman" w:eastAsia="Times New Roman" w:hAnsi="Times New Roman" w:cs="Times New Roman"/>
            <w:color w:val="BC360A"/>
            <w:sz w:val="21"/>
            <w:lang w:eastAsia="sk-SK"/>
          </w:rPr>
          <w:t>MÝTUS MONDRAGONU</w:t>
        </w:r>
      </w:hyperlink>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Česká republika, jako platný člen EU, by měla podporovat trend vybudování evropského sociálního modelu. Potřebujeme si plně uvědomit nutnost změny pracovního trhu, aby za určitých podmínek mohlo být dosaženo jeho větší flexibility. Plně si vědomi dosavadního politicko-hospodářského vývoje, který způsobil téměř úplnou ztrátu důvěry většiny občanů v hospodářskou politiku státu, v tržní mechanismy a s tím spojené spravedlivé rozdělování hospodářských výsledků, je vyžadován ozdravný proces, který by působil zdola a jeho vývoj a výhody tak mohly být dobře sledovatelné a posuzovatelné řadovými občany.</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Za účelem podpory oživení podnikání a hledání synergií pro rozvoj udržitelné společnosti založené na třech pilířích – životním prostředí, ekonomickém a sociálním – je potřeba podporovat rozvoj sociálního podnikání a různých forem inovativního podnikání včetně družstevnictví. S tím zároveň souvisí i podpora malých a středních podniků (MSP, podniky s počtem zaměstnanců 0-249), k nimž se výše zmíněné typy podnikání zejména vztahují. MSP jsou hnacím motorem ekonomiky a ve většině zemí EU tomu tak je, ČR ale bohužel v tomto směru poněkud zaostává za průměrem EU zemí. Podle zprávy Evropské komise k realizaci Small Business Act v ČR z roku 2013</w:t>
      </w:r>
      <w:hyperlink r:id="rId66" w:anchor="_ftn1" w:history="1">
        <w:r w:rsidRPr="00FF5CE6">
          <w:rPr>
            <w:rFonts w:ascii="Times New Roman" w:eastAsia="Times New Roman" w:hAnsi="Times New Roman" w:cs="Times New Roman"/>
            <w:color w:val="BC360A"/>
            <w:sz w:val="24"/>
            <w:szCs w:val="24"/>
            <w:lang w:eastAsia="sk-SK"/>
          </w:rPr>
          <w:t>[1]</w:t>
        </w:r>
      </w:hyperlink>
      <w:r w:rsidRPr="00FF5CE6">
        <w:rPr>
          <w:rFonts w:ascii="Times New Roman" w:eastAsia="Times New Roman" w:hAnsi="Times New Roman" w:cs="Times New Roman"/>
          <w:sz w:val="24"/>
          <w:szCs w:val="24"/>
          <w:lang w:eastAsia="sk-SK"/>
        </w:rPr>
        <w:t>, sice počet MSP a počet jimi vytvořených míst průměr EU dokonce předčí, jejich výkonost a přidaná hodnota v rámci celé ekonomiky je však nižší. Podle zprávy EK je též alarmující, že se prudce zvýšil počet MSP, které zanikly po více než 15 letech existence na trhu – 50 % MSP, které v roce 2012 zanikly. Stejně tak je zde výrazný rozdíl oproti EU v tom, jak je v ČR vnímáno podnikatelské prostředí z pohledu MSP a potenciálních začínajících podnikatelů, a to především co se týče státní podpory začínajícím podnikům, financování, nedostatečně pružně reagující správy, vymahatelnosti práv apod. “Největším problémem v ČR je nestabilní podnikatelské prostředí, velmi časté a zásadní změny v legislativě a daních, často s platností na poslední chvíli.” (Eva Svobodová, generální ředitelka Asociace malých a středních podniků a živnostníků ČR, AMSP). Z důvodu těchto a dalších bariér podle průzkumu Asociace také stagnuje růst počtu nových podnikatelů.</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 xml:space="preserve">Podpora MSP a různých forem inovativního podnikání může ve svém důsledku přispět nejen k celkovému posílení ekonomiky na makroekonomické úrovni, ale také k ekonomickému posílení střední vrstvy obyvatelstva, která je zde v této rovině historicky slabá a to již po několik generací. Může též přispět k vyrovnání ekonomických rozdílů mezi jednotlivými regiony. Například zatímco Praha vykazovala v roce 2013 průměrnou nezaměstnanost 7,68 % a na 1000 obyvatel zde připadalo 170 MSP, v Ústeckém kraji se nezaměstnanost pohybovala </w:t>
      </w:r>
      <w:r w:rsidRPr="00FF5CE6">
        <w:rPr>
          <w:rFonts w:ascii="Times New Roman" w:eastAsia="Times New Roman" w:hAnsi="Times New Roman" w:cs="Times New Roman"/>
          <w:sz w:val="24"/>
          <w:szCs w:val="24"/>
          <w:lang w:eastAsia="sk-SK"/>
        </w:rPr>
        <w:lastRenderedPageBreak/>
        <w:t>přes 11 %, v Moravskoslezském 9,77 % a v obou krajích na 1000 obyvatel připadá jen 80 MSP.</w:t>
      </w:r>
      <w:bookmarkStart w:id="2" w:name="_ftnref2"/>
      <w:r w:rsidR="00E416BB" w:rsidRPr="00FF5CE6">
        <w:rPr>
          <w:rFonts w:ascii="Times New Roman" w:eastAsia="Times New Roman" w:hAnsi="Times New Roman" w:cs="Times New Roman"/>
          <w:sz w:val="24"/>
          <w:szCs w:val="24"/>
          <w:lang w:eastAsia="sk-SK"/>
        </w:rPr>
        <w:fldChar w:fldCharType="begin"/>
      </w:r>
      <w:r w:rsidRPr="00FF5CE6">
        <w:rPr>
          <w:rFonts w:ascii="Times New Roman" w:eastAsia="Times New Roman" w:hAnsi="Times New Roman" w:cs="Times New Roman"/>
          <w:sz w:val="24"/>
          <w:szCs w:val="24"/>
          <w:lang w:eastAsia="sk-SK"/>
        </w:rPr>
        <w:instrText xml:space="preserve"> HYPERLINK "http://www.maussen.eu/cs/category/mytus/index.htm" \l "_ftn2" </w:instrText>
      </w:r>
      <w:r w:rsidR="00E416BB" w:rsidRPr="00FF5CE6">
        <w:rPr>
          <w:rFonts w:ascii="Times New Roman" w:eastAsia="Times New Roman" w:hAnsi="Times New Roman" w:cs="Times New Roman"/>
          <w:sz w:val="24"/>
          <w:szCs w:val="24"/>
          <w:lang w:eastAsia="sk-SK"/>
        </w:rPr>
        <w:fldChar w:fldCharType="separate"/>
      </w:r>
      <w:r w:rsidRPr="00FF5CE6">
        <w:rPr>
          <w:rFonts w:ascii="Times New Roman" w:eastAsia="Times New Roman" w:hAnsi="Times New Roman" w:cs="Times New Roman"/>
          <w:color w:val="BC360A"/>
          <w:sz w:val="24"/>
          <w:szCs w:val="24"/>
          <w:lang w:eastAsia="sk-SK"/>
        </w:rPr>
        <w:t>[2]</w:t>
      </w:r>
      <w:r w:rsidR="00E416BB" w:rsidRPr="00FF5CE6">
        <w:rPr>
          <w:rFonts w:ascii="Times New Roman" w:eastAsia="Times New Roman" w:hAnsi="Times New Roman" w:cs="Times New Roman"/>
          <w:sz w:val="24"/>
          <w:szCs w:val="24"/>
          <w:lang w:eastAsia="sk-SK"/>
        </w:rPr>
        <w:fldChar w:fldCharType="end"/>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V této souvislosti se jako jedno z řešení, jak co nejefektivněji uchopit problematiku podpory podnikání, jeví právě podpora principu družstevnictví. Nejen, že by mohl zásadním způsobem pomoci financování začínajících podniků, ale mohl by v něm být navíc mohl být zohledněn nejčastější argument českých liberálů zdůrazňující zásadní rozdíl mezi rizikem, které při podnikání podstupuje podnikatel-zaměstnanec, a bezrizikovým životem ve mzdě pracujícího řadového zaměstnance. Proč? Protože v družstvu je (téměř) každý zaměstnanec zároveň i podnikatelem.</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Domníváme se, že koncept družstevnictví je platným a moderním způsobem podnikání, a proto by toto téma mělo být v České republice otevřené a diskuse o něm oživena. Nejen z toho důvodu, že odpovídá evropskému sociálnímu modelu, ale také proto, že v sobě skrývá velký budoucí potenciál. Firmy, v nichž jsou zaměstnanci finančně zainteresováni, jsou z dlouhodobého hlediska stabilnější než podniky vlastněné jedním nebo několika jednotlivci. Díky demokratickému zastoupení umožňují dosáhnout konsenzu v dobách krize. Například, jak je vysvětleno v teorii Share Economy (sdíleného hospodářství) představené Weitzmanem v roce 1984, během ekonomické krize tyto společnosti preferují mechanismus upravení platů spíše než snižování stavů a propouštění. Tím korigují dvě hlavní selhání klasického trhu: za prvé, přeřazením svých výrobních prostředků dosahují nižší nezaměstnanosti a za druhé, udržením lepší hospodářské stability vyvažují ekonomické cykly.</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Vždy bylo a bude pro lidi přirozené se sdružovat a spojovat své schopnosti, znalosti a kapitál, aby dosáhli prosperity. A sociální ekonomie může v tomto směru hrát do budoucna důležitou roli. Bohužel, koncept družstevnictví má v České republice velmi negativní konotaci (stejně jako i jinde ve střední a východní Evropě) vzhledem k historickému zneužití této myšlenky minulými komunistickými režimy. Abychom tento koncept mohli obnovit jako součást dnešního ekonomického života v naší zemi, je nutné, aby byl očištěn od historického stigmatu, adoptován širším politickým spektrem včetně stran pohybujících se ve středu.</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Na případové studii Mondragon Cooperative Corporation v Baskickém regionu ve Španělsku, můžeme ukázat a dokázat, že tento koncept má daleko ke “kolektivizaci” nebo “vyvlastňování”, které bylo do našeho regionu importováno z Ruska po II. Světové válce. Mondragon nebyl jako příklad vybrán náhodou – jak vyplývá z následné studie, mezi Českou republikou a Baskickem je možné sledovat několik paralel.</w:t>
      </w:r>
    </w:p>
    <w:p w:rsidR="00FF5CE6" w:rsidRPr="00FF5CE6" w:rsidRDefault="00E416BB" w:rsidP="00FF5CE6">
      <w:pPr>
        <w:spacing w:after="360" w:line="240" w:lineRule="auto"/>
        <w:rPr>
          <w:rFonts w:ascii="Times New Roman" w:eastAsia="Times New Roman" w:hAnsi="Times New Roman" w:cs="Times New Roman"/>
          <w:sz w:val="24"/>
          <w:szCs w:val="24"/>
          <w:lang w:eastAsia="sk-SK"/>
        </w:rPr>
      </w:pPr>
      <w:hyperlink r:id="rId67" w:anchor="_ftnref1" w:history="1">
        <w:r w:rsidR="00FF5CE6" w:rsidRPr="00FF5CE6">
          <w:rPr>
            <w:rFonts w:ascii="Times New Roman" w:eastAsia="Times New Roman" w:hAnsi="Times New Roman" w:cs="Times New Roman"/>
            <w:color w:val="BC360A"/>
            <w:sz w:val="24"/>
            <w:szCs w:val="24"/>
            <w:lang w:eastAsia="sk-SK"/>
          </w:rPr>
          <w:t>[1]</w:t>
        </w:r>
      </w:hyperlink>
      <w:r w:rsidR="00FF5CE6" w:rsidRPr="00FF5CE6">
        <w:rPr>
          <w:rFonts w:ascii="Times New Roman" w:eastAsia="Times New Roman" w:hAnsi="Times New Roman" w:cs="Times New Roman"/>
          <w:sz w:val="24"/>
          <w:szCs w:val="24"/>
          <w:lang w:eastAsia="sk-SK"/>
        </w:rPr>
        <w:t> Evropská komise, Přehled údajů SBA (Small Business Act) 2013 v České republice</w:t>
      </w:r>
    </w:p>
    <w:bookmarkStart w:id="3" w:name="_ftn2"/>
    <w:p w:rsidR="00FF5CE6" w:rsidRPr="00FF5CE6" w:rsidRDefault="00E416BB"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fldChar w:fldCharType="begin"/>
      </w:r>
      <w:r w:rsidR="00FF5CE6" w:rsidRPr="00FF5CE6">
        <w:rPr>
          <w:rFonts w:ascii="Times New Roman" w:eastAsia="Times New Roman" w:hAnsi="Times New Roman" w:cs="Times New Roman"/>
          <w:sz w:val="24"/>
          <w:szCs w:val="24"/>
          <w:lang w:eastAsia="sk-SK"/>
        </w:rPr>
        <w:instrText xml:space="preserve"> HYPERLINK "http://www.maussen.eu/cs/category/mytus/index.htm" \l "_ftnref2" </w:instrText>
      </w:r>
      <w:r w:rsidRPr="00FF5CE6">
        <w:rPr>
          <w:rFonts w:ascii="Times New Roman" w:eastAsia="Times New Roman" w:hAnsi="Times New Roman" w:cs="Times New Roman"/>
          <w:sz w:val="24"/>
          <w:szCs w:val="24"/>
          <w:lang w:eastAsia="sk-SK"/>
        </w:rPr>
        <w:fldChar w:fldCharType="separate"/>
      </w:r>
      <w:r w:rsidR="00FF5CE6" w:rsidRPr="00FF5CE6">
        <w:rPr>
          <w:rFonts w:ascii="Times New Roman" w:eastAsia="Times New Roman" w:hAnsi="Times New Roman" w:cs="Times New Roman"/>
          <w:color w:val="BC360A"/>
          <w:sz w:val="24"/>
          <w:szCs w:val="24"/>
          <w:lang w:eastAsia="sk-SK"/>
        </w:rPr>
        <w:t>[2]</w:t>
      </w:r>
      <w:r w:rsidRPr="00FF5CE6">
        <w:rPr>
          <w:rFonts w:ascii="Times New Roman" w:eastAsia="Times New Roman" w:hAnsi="Times New Roman" w:cs="Times New Roman"/>
          <w:sz w:val="24"/>
          <w:szCs w:val="24"/>
          <w:lang w:eastAsia="sk-SK"/>
        </w:rPr>
        <w:fldChar w:fldCharType="end"/>
      </w:r>
      <w:r w:rsidR="00FF5CE6" w:rsidRPr="00FF5CE6">
        <w:rPr>
          <w:rFonts w:ascii="Times New Roman" w:eastAsia="Times New Roman" w:hAnsi="Times New Roman" w:cs="Times New Roman"/>
          <w:sz w:val="24"/>
          <w:szCs w:val="24"/>
          <w:lang w:eastAsia="sk-SK"/>
        </w:rPr>
        <w:t> Ministerstvo průmyslu a obchodu, Zpráva o vývoji malého a středního podnikání (MSP) a jeho podpoře v roce 2013, a údaje z Českého statistického úřadu</w:t>
      </w:r>
    </w:p>
    <w:p w:rsidR="00FF5CE6" w:rsidRPr="00FF5CE6" w:rsidRDefault="00E416BB" w:rsidP="00FF5CE6">
      <w:pPr>
        <w:spacing w:after="0" w:line="240" w:lineRule="auto"/>
        <w:rPr>
          <w:rFonts w:ascii="Times New Roman" w:eastAsia="Times New Roman" w:hAnsi="Times New Roman" w:cs="Times New Roman"/>
          <w:sz w:val="24"/>
          <w:szCs w:val="24"/>
          <w:lang w:eastAsia="sk-SK"/>
        </w:rPr>
      </w:pPr>
      <w:hyperlink r:id="rId68" w:anchor="respond" w:history="1">
        <w:r w:rsidR="00FF5CE6" w:rsidRPr="00FF5CE6">
          <w:rPr>
            <w:rFonts w:ascii="Times New Roman" w:eastAsia="Times New Roman" w:hAnsi="Times New Roman" w:cs="Times New Roman"/>
            <w:color w:val="BC360A"/>
            <w:sz w:val="24"/>
            <w:szCs w:val="24"/>
            <w:lang w:eastAsia="sk-SK"/>
          </w:rPr>
          <w:t>Napsat komentář</w:t>
        </w:r>
      </w:hyperlink>
    </w:p>
    <w:p w:rsidR="00FF5CE6" w:rsidRPr="00FF5CE6" w:rsidRDefault="00E416BB" w:rsidP="00FF5CE6">
      <w:pPr>
        <w:spacing w:after="75" w:line="240" w:lineRule="auto"/>
        <w:outlineLvl w:val="0"/>
        <w:rPr>
          <w:rFonts w:ascii="Georgia" w:eastAsia="Times New Roman" w:hAnsi="Georgia" w:cs="Times New Roman"/>
          <w:kern w:val="36"/>
          <w:sz w:val="72"/>
          <w:szCs w:val="72"/>
          <w:lang w:eastAsia="sk-SK"/>
        </w:rPr>
      </w:pPr>
      <w:hyperlink r:id="rId69" w:history="1">
        <w:r w:rsidR="00FF5CE6" w:rsidRPr="00FF5CE6">
          <w:rPr>
            <w:rFonts w:ascii="Georgia" w:eastAsia="Times New Roman" w:hAnsi="Georgia" w:cs="Times New Roman"/>
            <w:color w:val="141412"/>
            <w:kern w:val="36"/>
            <w:sz w:val="72"/>
            <w:lang w:eastAsia="sk-SK"/>
          </w:rPr>
          <w:t>2. Finanční spoluúčast zaměstnanců v Evropě a České republice</w:t>
        </w:r>
      </w:hyperlink>
    </w:p>
    <w:p w:rsidR="00FF5CE6" w:rsidRPr="00FF5CE6" w:rsidRDefault="00E416BB" w:rsidP="00FF5CE6">
      <w:pPr>
        <w:spacing w:after="0" w:line="240" w:lineRule="auto"/>
        <w:rPr>
          <w:rFonts w:ascii="Times New Roman" w:eastAsia="Times New Roman" w:hAnsi="Times New Roman" w:cs="Times New Roman"/>
          <w:sz w:val="21"/>
          <w:szCs w:val="21"/>
          <w:lang w:eastAsia="sk-SK"/>
        </w:rPr>
      </w:pPr>
      <w:hyperlink r:id="rId70" w:tooltip="Trvalý odkaz na 2. Finanční spoluúčast zaměstnanců v Evropě a České republice" w:history="1">
        <w:r w:rsidR="00FF5CE6" w:rsidRPr="00FF5CE6">
          <w:rPr>
            <w:rFonts w:ascii="Times New Roman" w:eastAsia="Times New Roman" w:hAnsi="Times New Roman" w:cs="Times New Roman"/>
            <w:color w:val="BC360A"/>
            <w:sz w:val="21"/>
            <w:lang w:eastAsia="sk-SK"/>
          </w:rPr>
          <w:t>Říjen 15, 2015</w:t>
        </w:r>
      </w:hyperlink>
      <w:hyperlink r:id="rId71" w:history="1">
        <w:r w:rsidR="00FF5CE6" w:rsidRPr="00FF5CE6">
          <w:rPr>
            <w:rFonts w:ascii="Times New Roman" w:eastAsia="Times New Roman" w:hAnsi="Times New Roman" w:cs="Times New Roman"/>
            <w:color w:val="BC360A"/>
            <w:sz w:val="21"/>
            <w:lang w:eastAsia="sk-SK"/>
          </w:rPr>
          <w:t>JAK PODPOŘIT PODNIKÁNÍ V ČESKÉ REPUBLICE POMOCÍ FINANČNÍ SPOLUÚČASTI ZAMĚSTNANCŮ?</w:t>
        </w:r>
      </w:hyperlink>
      <w:r w:rsidR="00FF5CE6" w:rsidRPr="00FF5CE6">
        <w:rPr>
          <w:rFonts w:ascii="Times New Roman" w:eastAsia="Times New Roman" w:hAnsi="Times New Roman" w:cs="Times New Roman"/>
          <w:sz w:val="21"/>
          <w:lang w:eastAsia="sk-SK"/>
        </w:rPr>
        <w:t>, </w:t>
      </w:r>
      <w:hyperlink r:id="rId72" w:history="1">
        <w:r w:rsidR="00FF5CE6" w:rsidRPr="00FF5CE6">
          <w:rPr>
            <w:rFonts w:ascii="Times New Roman" w:eastAsia="Times New Roman" w:hAnsi="Times New Roman" w:cs="Times New Roman"/>
            <w:color w:val="BC360A"/>
            <w:sz w:val="21"/>
            <w:lang w:eastAsia="sk-SK"/>
          </w:rPr>
          <w:t>MÝTUS MONDRAGONU</w:t>
        </w:r>
      </w:hyperlink>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Pod rostoucím vlivem sociálního práva EU na Evropské národní systémy práce se vede diskuze o finanční spoluúčasti zaměstnanců z evropského hlediska a s ohledem na hlavní komentáře vycházející přímo z komunit.</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To se týká i iniciativy Evropského hospodářského a sociálního výboru (EHSV) načrtnout celkový koncept, který podporuje ekonomickou a sociální politiku soudržnosti a umožňuje FSZ na různých úrovních.</w:t>
      </w:r>
      <w:hyperlink r:id="rId73" w:anchor="_ftn1" w:history="1">
        <w:r w:rsidRPr="00FF5CE6">
          <w:rPr>
            <w:rFonts w:ascii="Times New Roman" w:eastAsia="Times New Roman" w:hAnsi="Times New Roman" w:cs="Times New Roman"/>
            <w:b/>
            <w:bCs/>
            <w:color w:val="BC360A"/>
            <w:sz w:val="24"/>
            <w:szCs w:val="24"/>
            <w:lang w:eastAsia="sk-SK"/>
          </w:rPr>
          <w:t>[1]</w:t>
        </w:r>
      </w:hyperlink>
    </w:p>
    <w:p w:rsidR="00FF5CE6" w:rsidRPr="00FF5CE6" w:rsidRDefault="00E416BB" w:rsidP="00FF5CE6">
      <w:pPr>
        <w:spacing w:after="360" w:line="240" w:lineRule="auto"/>
        <w:rPr>
          <w:rFonts w:ascii="Times New Roman" w:eastAsia="Times New Roman" w:hAnsi="Times New Roman" w:cs="Times New Roman"/>
          <w:sz w:val="24"/>
          <w:szCs w:val="24"/>
          <w:lang w:eastAsia="sk-SK"/>
        </w:rPr>
      </w:pPr>
      <w:hyperlink r:id="rId74" w:anchor="_ftnref1" w:history="1">
        <w:r w:rsidR="00FF5CE6" w:rsidRPr="00FF5CE6">
          <w:rPr>
            <w:rFonts w:ascii="Times New Roman" w:eastAsia="Times New Roman" w:hAnsi="Times New Roman" w:cs="Times New Roman"/>
            <w:color w:val="BC360A"/>
            <w:sz w:val="24"/>
            <w:szCs w:val="24"/>
            <w:lang w:eastAsia="sk-SK"/>
          </w:rPr>
          <w:t>[1]</w:t>
        </w:r>
      </w:hyperlink>
      <w:r w:rsidR="00FF5CE6" w:rsidRPr="00FF5CE6">
        <w:rPr>
          <w:rFonts w:ascii="Times New Roman" w:eastAsia="Times New Roman" w:hAnsi="Times New Roman" w:cs="Times New Roman"/>
          <w:sz w:val="24"/>
          <w:szCs w:val="24"/>
          <w:lang w:eastAsia="sk-SK"/>
        </w:rPr>
        <w:t> Opinion of the European Economic and Social Committee on Employee financial participation in Europe, 2010</w:t>
      </w:r>
    </w:p>
    <w:p w:rsidR="00FF5CE6" w:rsidRPr="00FF5CE6" w:rsidRDefault="00E416BB" w:rsidP="00FF5CE6">
      <w:pPr>
        <w:spacing w:after="0" w:line="240" w:lineRule="auto"/>
        <w:rPr>
          <w:rFonts w:ascii="Times New Roman" w:eastAsia="Times New Roman" w:hAnsi="Times New Roman" w:cs="Times New Roman"/>
          <w:sz w:val="24"/>
          <w:szCs w:val="24"/>
          <w:lang w:eastAsia="sk-SK"/>
        </w:rPr>
      </w:pPr>
      <w:hyperlink r:id="rId75" w:anchor="respond" w:history="1">
        <w:r w:rsidR="00FF5CE6" w:rsidRPr="00FF5CE6">
          <w:rPr>
            <w:rFonts w:ascii="Times New Roman" w:eastAsia="Times New Roman" w:hAnsi="Times New Roman" w:cs="Times New Roman"/>
            <w:color w:val="BC360A"/>
            <w:sz w:val="24"/>
            <w:szCs w:val="24"/>
            <w:lang w:eastAsia="sk-SK"/>
          </w:rPr>
          <w:t>Napsat komentář</w:t>
        </w:r>
      </w:hyperlink>
    </w:p>
    <w:p w:rsidR="00FF5CE6" w:rsidRPr="00FF5CE6" w:rsidRDefault="00E416BB" w:rsidP="00FF5CE6">
      <w:pPr>
        <w:spacing w:after="75" w:line="240" w:lineRule="auto"/>
        <w:outlineLvl w:val="0"/>
        <w:rPr>
          <w:rFonts w:ascii="Georgia" w:eastAsia="Times New Roman" w:hAnsi="Georgia" w:cs="Times New Roman"/>
          <w:kern w:val="36"/>
          <w:sz w:val="72"/>
          <w:szCs w:val="72"/>
          <w:lang w:eastAsia="sk-SK"/>
        </w:rPr>
      </w:pPr>
      <w:hyperlink r:id="rId76" w:history="1">
        <w:r w:rsidR="00FF5CE6" w:rsidRPr="00FF5CE6">
          <w:rPr>
            <w:rFonts w:ascii="Georgia" w:eastAsia="Times New Roman" w:hAnsi="Georgia" w:cs="Times New Roman"/>
            <w:color w:val="141412"/>
            <w:kern w:val="36"/>
            <w:sz w:val="72"/>
            <w:lang w:eastAsia="sk-SK"/>
          </w:rPr>
          <w:t>2.1 Závěry a doporučení k FSZ v Evropě</w:t>
        </w:r>
      </w:hyperlink>
    </w:p>
    <w:p w:rsidR="00FF5CE6" w:rsidRPr="00FF5CE6" w:rsidRDefault="00E416BB" w:rsidP="00FF5CE6">
      <w:pPr>
        <w:spacing w:after="0" w:line="240" w:lineRule="auto"/>
        <w:rPr>
          <w:rFonts w:ascii="Times New Roman" w:eastAsia="Times New Roman" w:hAnsi="Times New Roman" w:cs="Times New Roman"/>
          <w:sz w:val="21"/>
          <w:szCs w:val="21"/>
          <w:lang w:eastAsia="sk-SK"/>
        </w:rPr>
      </w:pPr>
      <w:hyperlink r:id="rId77" w:tooltip="Trvalý odkaz na 2.1 Závěry a doporučení k FSZ v Evropě" w:history="1">
        <w:r w:rsidR="00FF5CE6" w:rsidRPr="00FF5CE6">
          <w:rPr>
            <w:rFonts w:ascii="Times New Roman" w:eastAsia="Times New Roman" w:hAnsi="Times New Roman" w:cs="Times New Roman"/>
            <w:color w:val="BC360A"/>
            <w:sz w:val="21"/>
            <w:lang w:eastAsia="sk-SK"/>
          </w:rPr>
          <w:t>Říjen 15, 2015</w:t>
        </w:r>
      </w:hyperlink>
      <w:hyperlink r:id="rId78" w:history="1">
        <w:r w:rsidR="00FF5CE6" w:rsidRPr="00FF5CE6">
          <w:rPr>
            <w:rFonts w:ascii="Times New Roman" w:eastAsia="Times New Roman" w:hAnsi="Times New Roman" w:cs="Times New Roman"/>
            <w:color w:val="BC360A"/>
            <w:sz w:val="21"/>
            <w:lang w:eastAsia="sk-SK"/>
          </w:rPr>
          <w:t>JAK PODPOŘIT PODNIKÁNÍ V ČESKÉ REPUBLICE POMOCÍ FINANČNÍ SPOLUÚČASTI ZAMĚSTNANCŮ?</w:t>
        </w:r>
      </w:hyperlink>
      <w:r w:rsidR="00FF5CE6" w:rsidRPr="00FF5CE6">
        <w:rPr>
          <w:rFonts w:ascii="Times New Roman" w:eastAsia="Times New Roman" w:hAnsi="Times New Roman" w:cs="Times New Roman"/>
          <w:sz w:val="21"/>
          <w:lang w:eastAsia="sk-SK"/>
        </w:rPr>
        <w:t>, </w:t>
      </w:r>
      <w:hyperlink r:id="rId79" w:history="1">
        <w:r w:rsidR="00FF5CE6" w:rsidRPr="00FF5CE6">
          <w:rPr>
            <w:rFonts w:ascii="Times New Roman" w:eastAsia="Times New Roman" w:hAnsi="Times New Roman" w:cs="Times New Roman"/>
            <w:color w:val="BC360A"/>
            <w:sz w:val="21"/>
            <w:lang w:eastAsia="sk-SK"/>
          </w:rPr>
          <w:t>MÝTUS MONDRAGONU</w:t>
        </w:r>
      </w:hyperlink>
    </w:p>
    <w:p w:rsidR="00FF5CE6" w:rsidRPr="00FF5CE6" w:rsidRDefault="00FF5CE6" w:rsidP="00FF5CE6">
      <w:pPr>
        <w:numPr>
          <w:ilvl w:val="0"/>
          <w:numId w:val="2"/>
        </w:numPr>
        <w:spacing w:before="100" w:beforeAutospacing="1" w:after="100" w:afterAutospacing="1" w:line="240" w:lineRule="auto"/>
        <w:ind w:left="0"/>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Obnovit debatu o FSZ na evropské úrovni a poskytnout nové impulzy pro debatu na úrovni celé EU.</w:t>
      </w:r>
    </w:p>
    <w:p w:rsidR="00FF5CE6" w:rsidRPr="00FF5CE6" w:rsidRDefault="00FF5CE6" w:rsidP="00FF5CE6">
      <w:pPr>
        <w:numPr>
          <w:ilvl w:val="0"/>
          <w:numId w:val="2"/>
        </w:numPr>
        <w:spacing w:before="100" w:beforeAutospacing="1" w:after="100" w:afterAutospacing="1" w:line="240" w:lineRule="auto"/>
        <w:ind w:left="0"/>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Podnikům s přeshraniční působností by se mělo dostávat podpory při překonávání především daňových překážek v rámci příslušné země EU/EHP.</w:t>
      </w:r>
    </w:p>
    <w:p w:rsidR="00FF5CE6" w:rsidRPr="00FF5CE6" w:rsidRDefault="00FF5CE6" w:rsidP="00FF5CE6">
      <w:pPr>
        <w:numPr>
          <w:ilvl w:val="0"/>
          <w:numId w:val="2"/>
        </w:numPr>
        <w:spacing w:before="100" w:beforeAutospacing="1" w:after="100" w:afterAutospacing="1" w:line="240" w:lineRule="auto"/>
        <w:ind w:left="0"/>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Zavedení FSZ musí být dobrovolné, musí být doplňkem k systémům odměňování a nesmí brzdit vlastní vyjednávání o mzdách a platech.</w:t>
      </w:r>
    </w:p>
    <w:p w:rsidR="00FF5CE6" w:rsidRPr="00FF5CE6" w:rsidRDefault="00FF5CE6" w:rsidP="00FF5CE6">
      <w:pPr>
        <w:numPr>
          <w:ilvl w:val="0"/>
          <w:numId w:val="2"/>
        </w:numPr>
        <w:spacing w:before="100" w:beforeAutospacing="1" w:after="100" w:afterAutospacing="1" w:line="240" w:lineRule="auto"/>
        <w:ind w:left="0"/>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Žádoucí účinek FSZ spočívá v následujícím:</w:t>
      </w:r>
    </w:p>
    <w:p w:rsidR="00FF5CE6" w:rsidRPr="00FF5CE6" w:rsidRDefault="00FF5CE6" w:rsidP="00FF5CE6">
      <w:pPr>
        <w:numPr>
          <w:ilvl w:val="0"/>
          <w:numId w:val="3"/>
        </w:numPr>
        <w:spacing w:before="100" w:beforeAutospacing="1" w:after="100" w:afterAutospacing="1" w:line="240" w:lineRule="auto"/>
        <w:ind w:left="0"/>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zvýšit místní kupní sílu obyvatelstva, a tím i podpořit i podnikatelské možnosti regionu,</w:t>
      </w:r>
    </w:p>
    <w:p w:rsidR="00FF5CE6" w:rsidRPr="00FF5CE6" w:rsidRDefault="00FF5CE6" w:rsidP="00FF5CE6">
      <w:pPr>
        <w:numPr>
          <w:ilvl w:val="0"/>
          <w:numId w:val="3"/>
        </w:numPr>
        <w:spacing w:before="100" w:beforeAutospacing="1" w:after="100" w:afterAutospacing="1" w:line="240" w:lineRule="auto"/>
        <w:ind w:left="0"/>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jako jeden z prvků řádného řízení podniku přispívat ke zvyšování příjmů prostřednictvím účasti na úspěchu podniku,</w:t>
      </w:r>
    </w:p>
    <w:p w:rsidR="00FF5CE6" w:rsidRPr="00FF5CE6" w:rsidRDefault="00FF5CE6" w:rsidP="00FF5CE6">
      <w:pPr>
        <w:numPr>
          <w:ilvl w:val="0"/>
          <w:numId w:val="3"/>
        </w:numPr>
        <w:spacing w:before="100" w:beforeAutospacing="1" w:after="100" w:afterAutospacing="1" w:line="240" w:lineRule="auto"/>
        <w:ind w:left="0"/>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působit motivačně a prostřednictvím vyšší identifikace s podnikem přispívat ke snižování fluktuace zaměstnanců.</w:t>
      </w:r>
    </w:p>
    <w:p w:rsidR="00FF5CE6" w:rsidRPr="00FF5CE6" w:rsidRDefault="00FF5CE6" w:rsidP="00FF5CE6">
      <w:pPr>
        <w:numPr>
          <w:ilvl w:val="0"/>
          <w:numId w:val="4"/>
        </w:numPr>
        <w:spacing w:before="100" w:beforeAutospacing="1" w:after="100" w:afterAutospacing="1" w:line="240" w:lineRule="auto"/>
        <w:ind w:left="0"/>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I nadále by měly být zveřejňovány a tím rozšiřovány příklady osvědčených postupů ve FSZ. Odpovídající činnosti by měly v rozpočtu EU disponovat vlastní rozpočtovou linií.</w:t>
      </w:r>
    </w:p>
    <w:p w:rsidR="00FF5CE6" w:rsidRPr="00FF5CE6" w:rsidRDefault="00FF5CE6" w:rsidP="00FF5CE6">
      <w:pPr>
        <w:numPr>
          <w:ilvl w:val="0"/>
          <w:numId w:val="4"/>
        </w:numPr>
        <w:spacing w:before="100" w:beforeAutospacing="1" w:after="100" w:afterAutospacing="1" w:line="240" w:lineRule="auto"/>
        <w:ind w:left="0"/>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lastRenderedPageBreak/>
        <w:t>Měly by být vytvořeny informační zdroje o provádění FSZ jak pro podniky, tak pro zaměstnance, jakož i vzdělávací kurzy a poradenství nezávislých institucí, např. kvalifikovaných nevládních organizací.</w:t>
      </w:r>
    </w:p>
    <w:p w:rsidR="00FF5CE6" w:rsidRPr="00FF5CE6" w:rsidRDefault="00E416BB" w:rsidP="00FF5CE6">
      <w:pPr>
        <w:spacing w:after="0" w:line="240" w:lineRule="auto"/>
        <w:rPr>
          <w:rFonts w:ascii="Times New Roman" w:eastAsia="Times New Roman" w:hAnsi="Times New Roman" w:cs="Times New Roman"/>
          <w:sz w:val="24"/>
          <w:szCs w:val="24"/>
          <w:lang w:eastAsia="sk-SK"/>
        </w:rPr>
      </w:pPr>
      <w:hyperlink r:id="rId80" w:anchor="respond" w:history="1">
        <w:r w:rsidR="00FF5CE6" w:rsidRPr="00FF5CE6">
          <w:rPr>
            <w:rFonts w:ascii="Times New Roman" w:eastAsia="Times New Roman" w:hAnsi="Times New Roman" w:cs="Times New Roman"/>
            <w:color w:val="BC360A"/>
            <w:sz w:val="24"/>
            <w:szCs w:val="24"/>
            <w:lang w:eastAsia="sk-SK"/>
          </w:rPr>
          <w:t>Napsat komentář</w:t>
        </w:r>
      </w:hyperlink>
    </w:p>
    <w:p w:rsidR="00FF5CE6" w:rsidRPr="00FF5CE6" w:rsidRDefault="00E416BB" w:rsidP="00FF5CE6">
      <w:pPr>
        <w:spacing w:after="75" w:line="240" w:lineRule="auto"/>
        <w:outlineLvl w:val="0"/>
        <w:rPr>
          <w:rFonts w:ascii="Georgia" w:eastAsia="Times New Roman" w:hAnsi="Georgia" w:cs="Times New Roman"/>
          <w:kern w:val="36"/>
          <w:sz w:val="72"/>
          <w:szCs w:val="72"/>
          <w:lang w:eastAsia="sk-SK"/>
        </w:rPr>
      </w:pPr>
      <w:hyperlink r:id="rId81" w:history="1">
        <w:r w:rsidR="00FF5CE6" w:rsidRPr="00FF5CE6">
          <w:rPr>
            <w:rFonts w:ascii="Georgia" w:eastAsia="Times New Roman" w:hAnsi="Georgia" w:cs="Times New Roman"/>
            <w:color w:val="141412"/>
            <w:kern w:val="36"/>
            <w:sz w:val="72"/>
            <w:lang w:eastAsia="sk-SK"/>
          </w:rPr>
          <w:t>2.2 Zprávy PEPPER vypracované z pověření Evropské komise, 2.2.1 Výsledky v Evropě. Pozitivní dynamika FSZ</w:t>
        </w:r>
      </w:hyperlink>
    </w:p>
    <w:p w:rsidR="00FF5CE6" w:rsidRPr="00FF5CE6" w:rsidRDefault="00E416BB" w:rsidP="00FF5CE6">
      <w:pPr>
        <w:spacing w:after="0" w:line="240" w:lineRule="auto"/>
        <w:rPr>
          <w:rFonts w:ascii="Times New Roman" w:eastAsia="Times New Roman" w:hAnsi="Times New Roman" w:cs="Times New Roman"/>
          <w:sz w:val="21"/>
          <w:szCs w:val="21"/>
          <w:lang w:eastAsia="sk-SK"/>
        </w:rPr>
      </w:pPr>
      <w:hyperlink r:id="rId82" w:tooltip="Trvalý odkaz na 2.2   Zprávy PEPPER vypracované z pověření Evropské komise, 2.2.1 Výsledky v Evropě. Pozitivní dynamika FSZ" w:history="1">
        <w:r w:rsidR="00FF5CE6" w:rsidRPr="00FF5CE6">
          <w:rPr>
            <w:rFonts w:ascii="Times New Roman" w:eastAsia="Times New Roman" w:hAnsi="Times New Roman" w:cs="Times New Roman"/>
            <w:color w:val="BC360A"/>
            <w:sz w:val="21"/>
            <w:lang w:eastAsia="sk-SK"/>
          </w:rPr>
          <w:t>Říjen 15, 2015</w:t>
        </w:r>
      </w:hyperlink>
      <w:hyperlink r:id="rId83" w:history="1">
        <w:r w:rsidR="00FF5CE6" w:rsidRPr="00FF5CE6">
          <w:rPr>
            <w:rFonts w:ascii="Times New Roman" w:eastAsia="Times New Roman" w:hAnsi="Times New Roman" w:cs="Times New Roman"/>
            <w:color w:val="BC360A"/>
            <w:sz w:val="21"/>
            <w:lang w:eastAsia="sk-SK"/>
          </w:rPr>
          <w:t>JAK PODPOŘIT PODNIKÁNÍ V ČESKÉ REPUBLICE POMOCÍ FINANČNÍ SPOLUÚČASTI ZAMĚSTNANCŮ?</w:t>
        </w:r>
      </w:hyperlink>
      <w:r w:rsidR="00FF5CE6" w:rsidRPr="00FF5CE6">
        <w:rPr>
          <w:rFonts w:ascii="Times New Roman" w:eastAsia="Times New Roman" w:hAnsi="Times New Roman" w:cs="Times New Roman"/>
          <w:sz w:val="21"/>
          <w:lang w:eastAsia="sk-SK"/>
        </w:rPr>
        <w:t>, </w:t>
      </w:r>
      <w:hyperlink r:id="rId84" w:history="1">
        <w:r w:rsidR="00FF5CE6" w:rsidRPr="00FF5CE6">
          <w:rPr>
            <w:rFonts w:ascii="Times New Roman" w:eastAsia="Times New Roman" w:hAnsi="Times New Roman" w:cs="Times New Roman"/>
            <w:color w:val="BC360A"/>
            <w:sz w:val="21"/>
            <w:lang w:eastAsia="sk-SK"/>
          </w:rPr>
          <w:t>MÝTUS MONDRAGONU</w:t>
        </w:r>
      </w:hyperlink>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Zprávy PEPPER dokládají přetrvávající význam tohoto tématu pro evropskou politiku: zpráva PEPPER-IV konstatuje neustále rostoucí rozšiřování FSZ v EU-27 během posledních 10 let.</w:t>
      </w:r>
      <w:hyperlink r:id="rId85" w:anchor="_ftn1" w:history="1">
        <w:r w:rsidRPr="00FF5CE6">
          <w:rPr>
            <w:rFonts w:ascii="Times New Roman" w:eastAsia="Times New Roman" w:hAnsi="Times New Roman" w:cs="Times New Roman"/>
            <w:color w:val="BC360A"/>
            <w:sz w:val="24"/>
            <w:szCs w:val="24"/>
            <w:lang w:eastAsia="sk-SK"/>
          </w:rPr>
          <w:t>[1]</w:t>
        </w:r>
      </w:hyperlink>
      <w:r w:rsidRPr="00FF5CE6">
        <w:rPr>
          <w:rFonts w:ascii="Times New Roman" w:eastAsia="Times New Roman" w:hAnsi="Times New Roman" w:cs="Times New Roman"/>
          <w:sz w:val="24"/>
          <w:szCs w:val="24"/>
          <w:lang w:eastAsia="sk-SK"/>
        </w:rPr>
        <w:t> V období 1995-2005 se zvýšil podíl podniků nabízejících modely kapitálové spoluúčasti otevřené všem zaměstnancům o pět procentních bodů z průměrných 13 % na 18 %, vůči modelům spoluúčasti na zisku o šest procentních bodů z průměrných 29 % na 35 %. Zvýšil se rovněž podíl zaměstnanců, kteří se modelů účastní, i když jen v menším rozsahu.</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Ve zprávě PEPPER IV se navrhuje Rada Evropské unie vydala doporučení k evropské platformě pro FSZ. V souladu se zásadou dobrovolnosti obsahuje nadnárodní stavebnicový model všechny používané formy spoluúčasti včetně účasti na zisku (v hotovosti, s odkladem nebo formou akcií), individuální kapitálové účasti (zaměstnanecké akcie nebo akciové opce) a formou ESOP (model kolektivní kapitálové účasti, financované z účasti na zisku, vyplácené nad rámec mzdy).</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Daňové pobídky nejsou sice neodmyslitelným předpokladem FSZ, avšak v zemích, které je nabízejí, působí jednoznačně pozitivně. Nehledě na výlučnou pravomoc členských států v otázkách zdanění může koordinace, konsensus a vzájemné uznávání usnadnit provádění FSZ v přeshraničně činných podnicích. Výpočet „účinných daňových sazeb“ pro standardní scénáře by umožnil přímé srovnávání zemí EU-27 a tím by zaručil další harmonizaci. Zůstanou-li dobrovolné, nemělo by dojít ke konfliktům s vnitrostátním právem.</w:t>
      </w:r>
    </w:p>
    <w:p w:rsidR="00FF5CE6" w:rsidRPr="00FF5CE6" w:rsidRDefault="00E416BB" w:rsidP="00FF5CE6">
      <w:pPr>
        <w:spacing w:after="360" w:line="240" w:lineRule="auto"/>
        <w:rPr>
          <w:rFonts w:ascii="Times New Roman" w:eastAsia="Times New Roman" w:hAnsi="Times New Roman" w:cs="Times New Roman"/>
          <w:sz w:val="24"/>
          <w:szCs w:val="24"/>
          <w:lang w:eastAsia="sk-SK"/>
        </w:rPr>
      </w:pPr>
      <w:hyperlink r:id="rId86" w:anchor="_ftnref1" w:history="1">
        <w:r w:rsidR="00FF5CE6" w:rsidRPr="00FF5CE6">
          <w:rPr>
            <w:rFonts w:ascii="Times New Roman" w:eastAsia="Times New Roman" w:hAnsi="Times New Roman" w:cs="Times New Roman"/>
            <w:color w:val="BC360A"/>
            <w:sz w:val="24"/>
            <w:szCs w:val="24"/>
            <w:lang w:eastAsia="sk-SK"/>
          </w:rPr>
          <w:t>[1]</w:t>
        </w:r>
      </w:hyperlink>
      <w:r w:rsidR="00FF5CE6" w:rsidRPr="00FF5CE6">
        <w:rPr>
          <w:rFonts w:ascii="Times New Roman" w:eastAsia="Times New Roman" w:hAnsi="Times New Roman" w:cs="Times New Roman"/>
          <w:sz w:val="24"/>
          <w:szCs w:val="24"/>
          <w:lang w:eastAsia="sk-SK"/>
        </w:rPr>
        <w:t> The PEPPER IV Report: Benchmarking of Employee Participation in Profits and Enterprise Results in the Member and Candidate Countries of the European Union, Jens Lowitzsch, 2009</w:t>
      </w:r>
    </w:p>
    <w:p w:rsidR="00FF5CE6" w:rsidRPr="00FF5CE6" w:rsidRDefault="00E416BB" w:rsidP="00FF5CE6">
      <w:pPr>
        <w:spacing w:after="0" w:line="240" w:lineRule="auto"/>
        <w:rPr>
          <w:rFonts w:ascii="Times New Roman" w:eastAsia="Times New Roman" w:hAnsi="Times New Roman" w:cs="Times New Roman"/>
          <w:sz w:val="24"/>
          <w:szCs w:val="24"/>
          <w:lang w:eastAsia="sk-SK"/>
        </w:rPr>
      </w:pPr>
      <w:hyperlink r:id="rId87" w:anchor="respond" w:history="1">
        <w:r w:rsidR="00FF5CE6" w:rsidRPr="00FF5CE6">
          <w:rPr>
            <w:rFonts w:ascii="Times New Roman" w:eastAsia="Times New Roman" w:hAnsi="Times New Roman" w:cs="Times New Roman"/>
            <w:color w:val="BC360A"/>
            <w:sz w:val="24"/>
            <w:szCs w:val="24"/>
            <w:lang w:eastAsia="sk-SK"/>
          </w:rPr>
          <w:t>Napsat komentář</w:t>
        </w:r>
      </w:hyperlink>
    </w:p>
    <w:p w:rsidR="00FF5CE6" w:rsidRPr="00FF5CE6" w:rsidRDefault="00E416BB" w:rsidP="00FF5CE6">
      <w:pPr>
        <w:spacing w:after="75" w:line="240" w:lineRule="auto"/>
        <w:outlineLvl w:val="0"/>
        <w:rPr>
          <w:rFonts w:ascii="Georgia" w:eastAsia="Times New Roman" w:hAnsi="Georgia" w:cs="Times New Roman"/>
          <w:kern w:val="36"/>
          <w:sz w:val="72"/>
          <w:szCs w:val="72"/>
          <w:lang w:eastAsia="sk-SK"/>
        </w:rPr>
      </w:pPr>
      <w:hyperlink r:id="rId88" w:history="1">
        <w:r w:rsidR="00FF5CE6" w:rsidRPr="00FF5CE6">
          <w:rPr>
            <w:rFonts w:ascii="Georgia" w:eastAsia="Times New Roman" w:hAnsi="Georgia" w:cs="Times New Roman"/>
            <w:color w:val="141412"/>
            <w:kern w:val="36"/>
            <w:sz w:val="72"/>
            <w:lang w:eastAsia="sk-SK"/>
          </w:rPr>
          <w:t>2.2 Zprávy PEPPER vypracované z pověření Evropské komise, 2.2.2 Výsledky v České republice. Stagnace.</w:t>
        </w:r>
      </w:hyperlink>
    </w:p>
    <w:p w:rsidR="00FF5CE6" w:rsidRPr="00FF5CE6" w:rsidRDefault="00E416BB" w:rsidP="00FF5CE6">
      <w:pPr>
        <w:spacing w:after="0" w:line="240" w:lineRule="auto"/>
        <w:rPr>
          <w:rFonts w:ascii="Times New Roman" w:eastAsia="Times New Roman" w:hAnsi="Times New Roman" w:cs="Times New Roman"/>
          <w:sz w:val="21"/>
          <w:szCs w:val="21"/>
          <w:lang w:eastAsia="sk-SK"/>
        </w:rPr>
      </w:pPr>
      <w:hyperlink r:id="rId89" w:tooltip="Trvalý odkaz na 2.2   Zprávy PEPPER vypracované z pověření Evropské komise, 2.2.2 Výsledky v České republice. Stagnace." w:history="1">
        <w:r w:rsidR="00FF5CE6" w:rsidRPr="00FF5CE6">
          <w:rPr>
            <w:rFonts w:ascii="Times New Roman" w:eastAsia="Times New Roman" w:hAnsi="Times New Roman" w:cs="Times New Roman"/>
            <w:color w:val="BC360A"/>
            <w:sz w:val="21"/>
            <w:lang w:eastAsia="sk-SK"/>
          </w:rPr>
          <w:t>Říjen 15, 2015</w:t>
        </w:r>
      </w:hyperlink>
      <w:hyperlink r:id="rId90" w:history="1">
        <w:r w:rsidR="00FF5CE6" w:rsidRPr="00FF5CE6">
          <w:rPr>
            <w:rFonts w:ascii="Times New Roman" w:eastAsia="Times New Roman" w:hAnsi="Times New Roman" w:cs="Times New Roman"/>
            <w:color w:val="BC360A"/>
            <w:sz w:val="21"/>
            <w:lang w:eastAsia="sk-SK"/>
          </w:rPr>
          <w:t>JAK PODPOŘIT PODNIKÁNÍ V ČESKÉ REPUBLICE POMOCÍ FINANČNÍ SPOLUÚČASTI ZAMĚSTNANCŮ?</w:t>
        </w:r>
      </w:hyperlink>
      <w:r w:rsidR="00FF5CE6" w:rsidRPr="00FF5CE6">
        <w:rPr>
          <w:rFonts w:ascii="Times New Roman" w:eastAsia="Times New Roman" w:hAnsi="Times New Roman" w:cs="Times New Roman"/>
          <w:sz w:val="21"/>
          <w:lang w:eastAsia="sk-SK"/>
        </w:rPr>
        <w:t>, </w:t>
      </w:r>
      <w:hyperlink r:id="rId91" w:history="1">
        <w:r w:rsidR="00FF5CE6" w:rsidRPr="00FF5CE6">
          <w:rPr>
            <w:rFonts w:ascii="Times New Roman" w:eastAsia="Times New Roman" w:hAnsi="Times New Roman" w:cs="Times New Roman"/>
            <w:color w:val="BC360A"/>
            <w:sz w:val="21"/>
            <w:lang w:eastAsia="sk-SK"/>
          </w:rPr>
          <w:t>MÝTUS MONDRAGONU</w:t>
        </w:r>
      </w:hyperlink>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b/>
          <w:bCs/>
          <w:sz w:val="24"/>
          <w:szCs w:val="24"/>
          <w:lang w:eastAsia="sk-SK"/>
        </w:rPr>
        <w:t>Č</w:t>
      </w:r>
      <w:r w:rsidRPr="00FF5CE6">
        <w:rPr>
          <w:rFonts w:ascii="Times New Roman" w:eastAsia="Times New Roman" w:hAnsi="Times New Roman" w:cs="Times New Roman"/>
          <w:sz w:val="24"/>
          <w:szCs w:val="24"/>
          <w:lang w:eastAsia="sk-SK"/>
        </w:rPr>
        <w:t>eská republika je zemí, jejíž privatizační zákony umožnila získat majetek několika zasvěceným. Nehledě na tradici finanční i rozhodovací spoluúčasti zaměstnanců, český model privatizace nezahrnoval žádné speciální snižování cen, možnost výhodných úvěrů nebo předkupní práva pro zaměstnance. Česko zvolilo kuponový koncept bez toho, aniž by byly vytvořené podnikatelské struktury. Bylo – a obecně stále zůstává – nepřátelské vůči spoluúčasti zaměstnanců. V rámci kuponové privatizace bylo pouze 1,5 % všech akcií alokováno pro zaměstnance. V současnosti je jakékoliv podílnictví na zisku velmi ojedinělé a ty případy, které existují, lze většinou nalézt u zahraničních podniků. Z existujíc regulací, vesměs restriktivních, ošetřujících buď vlastnictví akcií zaměstnanci nebo podíl na zisku (na základě podílnictví), jenom první z nich byla implementována a to ještě jen velmi omezeně.</w:t>
      </w:r>
    </w:p>
    <w:p w:rsidR="00FF5CE6" w:rsidRPr="00FF5CE6" w:rsidRDefault="00E416BB" w:rsidP="00FF5CE6">
      <w:pPr>
        <w:spacing w:after="0" w:line="240" w:lineRule="auto"/>
        <w:rPr>
          <w:rFonts w:ascii="Times New Roman" w:eastAsia="Times New Roman" w:hAnsi="Times New Roman" w:cs="Times New Roman"/>
          <w:sz w:val="24"/>
          <w:szCs w:val="24"/>
          <w:lang w:eastAsia="sk-SK"/>
        </w:rPr>
      </w:pPr>
      <w:hyperlink r:id="rId92" w:anchor="respond" w:history="1">
        <w:r w:rsidR="00FF5CE6" w:rsidRPr="00FF5CE6">
          <w:rPr>
            <w:rFonts w:ascii="Times New Roman" w:eastAsia="Times New Roman" w:hAnsi="Times New Roman" w:cs="Times New Roman"/>
            <w:color w:val="BC360A"/>
            <w:sz w:val="24"/>
            <w:szCs w:val="24"/>
            <w:lang w:eastAsia="sk-SK"/>
          </w:rPr>
          <w:t>Napsat komentář</w:t>
        </w:r>
      </w:hyperlink>
    </w:p>
    <w:p w:rsidR="00FF5CE6" w:rsidRPr="00FF5CE6" w:rsidRDefault="00E416BB" w:rsidP="00FF5CE6">
      <w:pPr>
        <w:spacing w:after="75" w:line="240" w:lineRule="auto"/>
        <w:outlineLvl w:val="0"/>
        <w:rPr>
          <w:rFonts w:ascii="Georgia" w:eastAsia="Times New Roman" w:hAnsi="Georgia" w:cs="Times New Roman"/>
          <w:kern w:val="36"/>
          <w:sz w:val="72"/>
          <w:szCs w:val="72"/>
          <w:lang w:eastAsia="sk-SK"/>
        </w:rPr>
      </w:pPr>
      <w:hyperlink r:id="rId93" w:history="1">
        <w:r w:rsidR="00FF5CE6" w:rsidRPr="00FF5CE6">
          <w:rPr>
            <w:rFonts w:ascii="Georgia" w:eastAsia="Times New Roman" w:hAnsi="Georgia" w:cs="Times New Roman"/>
            <w:color w:val="141412"/>
            <w:kern w:val="36"/>
            <w:sz w:val="72"/>
            <w:lang w:eastAsia="sk-SK"/>
          </w:rPr>
          <w:t>2.3 Výhody FSZ pro podniky a zaměstnance</w:t>
        </w:r>
      </w:hyperlink>
    </w:p>
    <w:p w:rsidR="00FF5CE6" w:rsidRPr="00FF5CE6" w:rsidRDefault="00E416BB" w:rsidP="00FF5CE6">
      <w:pPr>
        <w:spacing w:after="0" w:line="240" w:lineRule="auto"/>
        <w:rPr>
          <w:rFonts w:ascii="Times New Roman" w:eastAsia="Times New Roman" w:hAnsi="Times New Roman" w:cs="Times New Roman"/>
          <w:sz w:val="21"/>
          <w:szCs w:val="21"/>
          <w:lang w:eastAsia="sk-SK"/>
        </w:rPr>
      </w:pPr>
      <w:hyperlink r:id="rId94" w:tooltip="Trvalý odkaz na 2.3 Výhody FSZ pro podniky a zaměstnance" w:history="1">
        <w:r w:rsidR="00FF5CE6" w:rsidRPr="00FF5CE6">
          <w:rPr>
            <w:rFonts w:ascii="Times New Roman" w:eastAsia="Times New Roman" w:hAnsi="Times New Roman" w:cs="Times New Roman"/>
            <w:color w:val="BC360A"/>
            <w:sz w:val="21"/>
            <w:lang w:eastAsia="sk-SK"/>
          </w:rPr>
          <w:t>Říjen 15, 2015</w:t>
        </w:r>
      </w:hyperlink>
      <w:hyperlink r:id="rId95" w:history="1">
        <w:r w:rsidR="00FF5CE6" w:rsidRPr="00FF5CE6">
          <w:rPr>
            <w:rFonts w:ascii="Times New Roman" w:eastAsia="Times New Roman" w:hAnsi="Times New Roman" w:cs="Times New Roman"/>
            <w:color w:val="BC360A"/>
            <w:sz w:val="21"/>
            <w:lang w:eastAsia="sk-SK"/>
          </w:rPr>
          <w:t>JAK PODPOŘIT PODNIKÁNÍ V ČESKÉ REPUBLICE POMOCÍ FINANČNÍ SPOLUÚČASTI ZAMĚSTNANCŮ?</w:t>
        </w:r>
      </w:hyperlink>
      <w:r w:rsidR="00FF5CE6" w:rsidRPr="00FF5CE6">
        <w:rPr>
          <w:rFonts w:ascii="Times New Roman" w:eastAsia="Times New Roman" w:hAnsi="Times New Roman" w:cs="Times New Roman"/>
          <w:sz w:val="21"/>
          <w:lang w:eastAsia="sk-SK"/>
        </w:rPr>
        <w:t>, </w:t>
      </w:r>
      <w:hyperlink r:id="rId96" w:history="1">
        <w:r w:rsidR="00FF5CE6" w:rsidRPr="00FF5CE6">
          <w:rPr>
            <w:rFonts w:ascii="Times New Roman" w:eastAsia="Times New Roman" w:hAnsi="Times New Roman" w:cs="Times New Roman"/>
            <w:color w:val="BC360A"/>
            <w:sz w:val="21"/>
            <w:lang w:eastAsia="sk-SK"/>
          </w:rPr>
          <w:t>MÝTUS MONDRAGONU</w:t>
        </w:r>
      </w:hyperlink>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 </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b/>
          <w:bCs/>
          <w:sz w:val="24"/>
          <w:szCs w:val="24"/>
          <w:lang w:eastAsia="sk-SK"/>
        </w:rPr>
        <w:t>S</w:t>
      </w:r>
      <w:r w:rsidRPr="00FF5CE6">
        <w:rPr>
          <w:rFonts w:ascii="Times New Roman" w:eastAsia="Times New Roman" w:hAnsi="Times New Roman" w:cs="Times New Roman"/>
          <w:sz w:val="24"/>
          <w:szCs w:val="24"/>
          <w:lang w:eastAsia="sk-SK"/>
        </w:rPr>
        <w:t> ohledem na strategii Evropa 2020 může zavedení FSZ pomoci podnikům v Evropě, a to zejména malým a středním podnikům, zlepšit konkurenceschopnost, a to díky tomu, že se – v dobrých i špatných časech – zvýší sounáležitost a loajalita kvalifikovaných zaměstnanců.</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 xml:space="preserve">Jeden z hlavních kladných efektů FSZ se projevuje v souvislosti s převodem podniků. Jednotný evropský trh se bude v blízké budoucnosti potýkat s převodem vlastnictví podniků, které by se každý rok mohly dotknout až 690 000 nekótovaných podniků a 2,8 milionu pracovních míst v souvislosti se stárnutím evropského obyvatelstva. Modely ESOP, které byly specificky vytvořeny pro nekótované podniky, jsou vhodné pro převod vlastnictví a řízení rodinných podniků či SMEs pro zvýšení kontinuity. Vyzývají vlastníky podniků k tomu, aby podniky převedli na své zaměstnance a neprodávali je třetím osobám, a </w:t>
      </w:r>
      <w:r w:rsidRPr="00FF5CE6">
        <w:rPr>
          <w:rFonts w:ascii="Times New Roman" w:eastAsia="Times New Roman" w:hAnsi="Times New Roman" w:cs="Times New Roman"/>
          <w:sz w:val="24"/>
          <w:szCs w:val="24"/>
          <w:lang w:eastAsia="sk-SK"/>
        </w:rPr>
        <w:lastRenderedPageBreak/>
        <w:t>předpokládá postupné dosažení 100 % vlastnictví podniku zaměstnanci. V této souvislosti je zvláště inovativní zaměření EHSV na veřejný sektor, kde vyzývá k vytvoření „modelu, který by otevřel možnost FSZ všem zaměstnaneckým skupinám a všem formám podniků, s ohledem na zvláštní situaci veřejného sektoru“.</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Formy kapitálové účasti, u nichž se nabytí podílu prostřednictvím svěřeneckého fondu financuje účastí na zisku vyplácenou nad rámec mzdy, již existují. Obvykle se jedná o zvláštní zprostředkující subjekt, jenž spravuje podíly zaměstnanců jemu svěřené.</w:t>
      </w:r>
      <w:hyperlink r:id="rId97" w:anchor="_ftn1" w:history="1">
        <w:r w:rsidRPr="00FF5CE6">
          <w:rPr>
            <w:rFonts w:ascii="Times New Roman" w:eastAsia="Times New Roman" w:hAnsi="Times New Roman" w:cs="Times New Roman"/>
            <w:color w:val="BC360A"/>
            <w:sz w:val="24"/>
            <w:szCs w:val="24"/>
            <w:lang w:eastAsia="sk-SK"/>
          </w:rPr>
          <w:t>[1]</w:t>
        </w:r>
      </w:hyperlink>
      <w:r w:rsidRPr="00FF5CE6">
        <w:rPr>
          <w:rFonts w:ascii="Times New Roman" w:eastAsia="Times New Roman" w:hAnsi="Times New Roman" w:cs="Times New Roman"/>
          <w:sz w:val="24"/>
          <w:szCs w:val="24"/>
          <w:lang w:eastAsia="sk-SK"/>
        </w:rPr>
        <w:t> Správa těchto fondů by měla probíhat na demokratickém základě prostřednictvím volby všech zaměstnanců akcionářů, aniž by byla ovlivňována managementem podniku.</w:t>
      </w:r>
    </w:p>
    <w:p w:rsidR="00FF5CE6" w:rsidRPr="00FF5CE6" w:rsidRDefault="00FF5CE6"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t>Příklady osvědčené praxe zprostředkujících subjektů spravujících svěřené podíly představují AUCHAN</w:t>
      </w:r>
      <w:hyperlink r:id="rId98" w:anchor="_ftn2" w:history="1">
        <w:r w:rsidRPr="00FF5CE6">
          <w:rPr>
            <w:rFonts w:ascii="Times New Roman" w:eastAsia="Times New Roman" w:hAnsi="Times New Roman" w:cs="Times New Roman"/>
            <w:color w:val="BC360A"/>
            <w:sz w:val="24"/>
            <w:szCs w:val="24"/>
            <w:lang w:eastAsia="sk-SK"/>
          </w:rPr>
          <w:t>[2]</w:t>
        </w:r>
      </w:hyperlink>
      <w:bookmarkEnd w:id="2"/>
      <w:r w:rsidRPr="00FF5CE6">
        <w:rPr>
          <w:rFonts w:ascii="Times New Roman" w:eastAsia="Times New Roman" w:hAnsi="Times New Roman" w:cs="Times New Roman"/>
          <w:sz w:val="24"/>
          <w:szCs w:val="24"/>
          <w:lang w:eastAsia="sk-SK"/>
        </w:rPr>
        <w:t> (Francie); HOMAG AG</w:t>
      </w:r>
      <w:bookmarkStart w:id="4" w:name="_ftnref3"/>
      <w:r w:rsidR="00E416BB" w:rsidRPr="00FF5CE6">
        <w:rPr>
          <w:rFonts w:ascii="Times New Roman" w:eastAsia="Times New Roman" w:hAnsi="Times New Roman" w:cs="Times New Roman"/>
          <w:sz w:val="24"/>
          <w:szCs w:val="24"/>
          <w:lang w:eastAsia="sk-SK"/>
        </w:rPr>
        <w:fldChar w:fldCharType="begin"/>
      </w:r>
      <w:r w:rsidRPr="00FF5CE6">
        <w:rPr>
          <w:rFonts w:ascii="Times New Roman" w:eastAsia="Times New Roman" w:hAnsi="Times New Roman" w:cs="Times New Roman"/>
          <w:sz w:val="24"/>
          <w:szCs w:val="24"/>
          <w:lang w:eastAsia="sk-SK"/>
        </w:rPr>
        <w:instrText xml:space="preserve"> HYPERLINK "http://www.maussen.eu/cs/category/mytus/index.htm" \l "_ftn3" </w:instrText>
      </w:r>
      <w:r w:rsidR="00E416BB" w:rsidRPr="00FF5CE6">
        <w:rPr>
          <w:rFonts w:ascii="Times New Roman" w:eastAsia="Times New Roman" w:hAnsi="Times New Roman" w:cs="Times New Roman"/>
          <w:sz w:val="24"/>
          <w:szCs w:val="24"/>
          <w:lang w:eastAsia="sk-SK"/>
        </w:rPr>
        <w:fldChar w:fldCharType="separate"/>
      </w:r>
      <w:r w:rsidRPr="00FF5CE6">
        <w:rPr>
          <w:rFonts w:ascii="Times New Roman" w:eastAsia="Times New Roman" w:hAnsi="Times New Roman" w:cs="Times New Roman"/>
          <w:color w:val="BC360A"/>
          <w:sz w:val="24"/>
          <w:szCs w:val="24"/>
          <w:lang w:eastAsia="sk-SK"/>
        </w:rPr>
        <w:t>[3]</w:t>
      </w:r>
      <w:r w:rsidR="00E416BB" w:rsidRPr="00FF5CE6">
        <w:rPr>
          <w:rFonts w:ascii="Times New Roman" w:eastAsia="Times New Roman" w:hAnsi="Times New Roman" w:cs="Times New Roman"/>
          <w:sz w:val="24"/>
          <w:szCs w:val="24"/>
          <w:lang w:eastAsia="sk-SK"/>
        </w:rPr>
        <w:fldChar w:fldCharType="end"/>
      </w:r>
      <w:bookmarkEnd w:id="4"/>
      <w:r w:rsidRPr="00FF5CE6">
        <w:rPr>
          <w:rFonts w:ascii="Times New Roman" w:eastAsia="Times New Roman" w:hAnsi="Times New Roman" w:cs="Times New Roman"/>
          <w:sz w:val="24"/>
          <w:szCs w:val="24"/>
          <w:lang w:eastAsia="sk-SK"/>
        </w:rPr>
        <w:t> (Německo); Pfalz Flugzeugwerke (PFW Aerospace AG)</w:t>
      </w:r>
      <w:bookmarkStart w:id="5" w:name="_ftnref4"/>
      <w:r w:rsidR="00E416BB" w:rsidRPr="00FF5CE6">
        <w:rPr>
          <w:rFonts w:ascii="Times New Roman" w:eastAsia="Times New Roman" w:hAnsi="Times New Roman" w:cs="Times New Roman"/>
          <w:sz w:val="24"/>
          <w:szCs w:val="24"/>
          <w:lang w:eastAsia="sk-SK"/>
        </w:rPr>
        <w:fldChar w:fldCharType="begin"/>
      </w:r>
      <w:r w:rsidRPr="00FF5CE6">
        <w:rPr>
          <w:rFonts w:ascii="Times New Roman" w:eastAsia="Times New Roman" w:hAnsi="Times New Roman" w:cs="Times New Roman"/>
          <w:sz w:val="24"/>
          <w:szCs w:val="24"/>
          <w:lang w:eastAsia="sk-SK"/>
        </w:rPr>
        <w:instrText xml:space="preserve"> HYPERLINK "http://www.maussen.eu/cs/category/mytus/index.htm" \l "_ftn4" </w:instrText>
      </w:r>
      <w:r w:rsidR="00E416BB" w:rsidRPr="00FF5CE6">
        <w:rPr>
          <w:rFonts w:ascii="Times New Roman" w:eastAsia="Times New Roman" w:hAnsi="Times New Roman" w:cs="Times New Roman"/>
          <w:sz w:val="24"/>
          <w:szCs w:val="24"/>
          <w:lang w:eastAsia="sk-SK"/>
        </w:rPr>
        <w:fldChar w:fldCharType="separate"/>
      </w:r>
      <w:r w:rsidRPr="00FF5CE6">
        <w:rPr>
          <w:rFonts w:ascii="Times New Roman" w:eastAsia="Times New Roman" w:hAnsi="Times New Roman" w:cs="Times New Roman"/>
          <w:color w:val="BC360A"/>
          <w:sz w:val="24"/>
          <w:szCs w:val="24"/>
          <w:lang w:eastAsia="sk-SK"/>
        </w:rPr>
        <w:t>[4]</w:t>
      </w:r>
      <w:r w:rsidR="00E416BB" w:rsidRPr="00FF5CE6">
        <w:rPr>
          <w:rFonts w:ascii="Times New Roman" w:eastAsia="Times New Roman" w:hAnsi="Times New Roman" w:cs="Times New Roman"/>
          <w:sz w:val="24"/>
          <w:szCs w:val="24"/>
          <w:lang w:eastAsia="sk-SK"/>
        </w:rPr>
        <w:fldChar w:fldCharType="end"/>
      </w:r>
      <w:bookmarkEnd w:id="5"/>
      <w:r w:rsidRPr="00FF5CE6">
        <w:rPr>
          <w:rFonts w:ascii="Times New Roman" w:eastAsia="Times New Roman" w:hAnsi="Times New Roman" w:cs="Times New Roman"/>
          <w:sz w:val="24"/>
          <w:szCs w:val="24"/>
          <w:lang w:eastAsia="sk-SK"/>
        </w:rPr>
        <w:t> (Německo); Voestalpine AG</w:t>
      </w:r>
      <w:bookmarkStart w:id="6" w:name="_ftnref5"/>
      <w:r w:rsidR="00E416BB" w:rsidRPr="00FF5CE6">
        <w:rPr>
          <w:rFonts w:ascii="Times New Roman" w:eastAsia="Times New Roman" w:hAnsi="Times New Roman" w:cs="Times New Roman"/>
          <w:sz w:val="24"/>
          <w:szCs w:val="24"/>
          <w:lang w:eastAsia="sk-SK"/>
        </w:rPr>
        <w:fldChar w:fldCharType="begin"/>
      </w:r>
      <w:r w:rsidRPr="00FF5CE6">
        <w:rPr>
          <w:rFonts w:ascii="Times New Roman" w:eastAsia="Times New Roman" w:hAnsi="Times New Roman" w:cs="Times New Roman"/>
          <w:sz w:val="24"/>
          <w:szCs w:val="24"/>
          <w:lang w:eastAsia="sk-SK"/>
        </w:rPr>
        <w:instrText xml:space="preserve"> HYPERLINK "http://www.maussen.eu/cs/category/mytus/index.htm" \l "_ftn5" </w:instrText>
      </w:r>
      <w:r w:rsidR="00E416BB" w:rsidRPr="00FF5CE6">
        <w:rPr>
          <w:rFonts w:ascii="Times New Roman" w:eastAsia="Times New Roman" w:hAnsi="Times New Roman" w:cs="Times New Roman"/>
          <w:sz w:val="24"/>
          <w:szCs w:val="24"/>
          <w:lang w:eastAsia="sk-SK"/>
        </w:rPr>
        <w:fldChar w:fldCharType="separate"/>
      </w:r>
      <w:r w:rsidRPr="00FF5CE6">
        <w:rPr>
          <w:rFonts w:ascii="Times New Roman" w:eastAsia="Times New Roman" w:hAnsi="Times New Roman" w:cs="Times New Roman"/>
          <w:color w:val="BC360A"/>
          <w:sz w:val="24"/>
          <w:szCs w:val="24"/>
          <w:lang w:eastAsia="sk-SK"/>
        </w:rPr>
        <w:t>[5]</w:t>
      </w:r>
      <w:r w:rsidR="00E416BB" w:rsidRPr="00FF5CE6">
        <w:rPr>
          <w:rFonts w:ascii="Times New Roman" w:eastAsia="Times New Roman" w:hAnsi="Times New Roman" w:cs="Times New Roman"/>
          <w:sz w:val="24"/>
          <w:szCs w:val="24"/>
          <w:lang w:eastAsia="sk-SK"/>
        </w:rPr>
        <w:fldChar w:fldCharType="end"/>
      </w:r>
      <w:bookmarkEnd w:id="6"/>
      <w:r w:rsidRPr="00FF5CE6">
        <w:rPr>
          <w:rFonts w:ascii="Times New Roman" w:eastAsia="Times New Roman" w:hAnsi="Times New Roman" w:cs="Times New Roman"/>
          <w:sz w:val="24"/>
          <w:szCs w:val="24"/>
          <w:lang w:eastAsia="sk-SK"/>
        </w:rPr>
        <w:t> (Rakousko); Oktogonen Foundation</w:t>
      </w:r>
      <w:bookmarkStart w:id="7" w:name="_ftnref6"/>
      <w:r w:rsidR="00E416BB" w:rsidRPr="00FF5CE6">
        <w:rPr>
          <w:rFonts w:ascii="Times New Roman" w:eastAsia="Times New Roman" w:hAnsi="Times New Roman" w:cs="Times New Roman"/>
          <w:sz w:val="24"/>
          <w:szCs w:val="24"/>
          <w:lang w:eastAsia="sk-SK"/>
        </w:rPr>
        <w:fldChar w:fldCharType="begin"/>
      </w:r>
      <w:r w:rsidRPr="00FF5CE6">
        <w:rPr>
          <w:rFonts w:ascii="Times New Roman" w:eastAsia="Times New Roman" w:hAnsi="Times New Roman" w:cs="Times New Roman"/>
          <w:sz w:val="24"/>
          <w:szCs w:val="24"/>
          <w:lang w:eastAsia="sk-SK"/>
        </w:rPr>
        <w:instrText xml:space="preserve"> HYPERLINK "http://www.maussen.eu/cs/category/mytus/index.htm" \l "_ftn6" </w:instrText>
      </w:r>
      <w:r w:rsidR="00E416BB" w:rsidRPr="00FF5CE6">
        <w:rPr>
          <w:rFonts w:ascii="Times New Roman" w:eastAsia="Times New Roman" w:hAnsi="Times New Roman" w:cs="Times New Roman"/>
          <w:sz w:val="24"/>
          <w:szCs w:val="24"/>
          <w:lang w:eastAsia="sk-SK"/>
        </w:rPr>
        <w:fldChar w:fldCharType="separate"/>
      </w:r>
      <w:r w:rsidRPr="00FF5CE6">
        <w:rPr>
          <w:rFonts w:ascii="Times New Roman" w:eastAsia="Times New Roman" w:hAnsi="Times New Roman" w:cs="Times New Roman"/>
          <w:color w:val="BC360A"/>
          <w:sz w:val="24"/>
          <w:szCs w:val="24"/>
          <w:lang w:eastAsia="sk-SK"/>
        </w:rPr>
        <w:t>[6]</w:t>
      </w:r>
      <w:r w:rsidR="00E416BB" w:rsidRPr="00FF5CE6">
        <w:rPr>
          <w:rFonts w:ascii="Times New Roman" w:eastAsia="Times New Roman" w:hAnsi="Times New Roman" w:cs="Times New Roman"/>
          <w:sz w:val="24"/>
          <w:szCs w:val="24"/>
          <w:lang w:eastAsia="sk-SK"/>
        </w:rPr>
        <w:fldChar w:fldCharType="end"/>
      </w:r>
      <w:bookmarkEnd w:id="7"/>
      <w:r w:rsidRPr="00FF5CE6">
        <w:rPr>
          <w:rFonts w:ascii="Times New Roman" w:eastAsia="Times New Roman" w:hAnsi="Times New Roman" w:cs="Times New Roman"/>
          <w:sz w:val="24"/>
          <w:szCs w:val="24"/>
          <w:lang w:eastAsia="sk-SK"/>
        </w:rPr>
        <w:t> (Švédsko); Herend-ESOP</w:t>
      </w:r>
      <w:bookmarkStart w:id="8" w:name="_ftnref7"/>
      <w:r w:rsidR="00E416BB" w:rsidRPr="00FF5CE6">
        <w:rPr>
          <w:rFonts w:ascii="Times New Roman" w:eastAsia="Times New Roman" w:hAnsi="Times New Roman" w:cs="Times New Roman"/>
          <w:sz w:val="24"/>
          <w:szCs w:val="24"/>
          <w:lang w:eastAsia="sk-SK"/>
        </w:rPr>
        <w:fldChar w:fldCharType="begin"/>
      </w:r>
      <w:r w:rsidRPr="00FF5CE6">
        <w:rPr>
          <w:rFonts w:ascii="Times New Roman" w:eastAsia="Times New Roman" w:hAnsi="Times New Roman" w:cs="Times New Roman"/>
          <w:sz w:val="24"/>
          <w:szCs w:val="24"/>
          <w:lang w:eastAsia="sk-SK"/>
        </w:rPr>
        <w:instrText xml:space="preserve"> HYPERLINK "http://www.maussen.eu/cs/category/mytus/index.htm" \l "_ftn7" </w:instrText>
      </w:r>
      <w:r w:rsidR="00E416BB" w:rsidRPr="00FF5CE6">
        <w:rPr>
          <w:rFonts w:ascii="Times New Roman" w:eastAsia="Times New Roman" w:hAnsi="Times New Roman" w:cs="Times New Roman"/>
          <w:sz w:val="24"/>
          <w:szCs w:val="24"/>
          <w:lang w:eastAsia="sk-SK"/>
        </w:rPr>
        <w:fldChar w:fldCharType="separate"/>
      </w:r>
      <w:r w:rsidRPr="00FF5CE6">
        <w:rPr>
          <w:rFonts w:ascii="Times New Roman" w:eastAsia="Times New Roman" w:hAnsi="Times New Roman" w:cs="Times New Roman"/>
          <w:color w:val="BC360A"/>
          <w:sz w:val="24"/>
          <w:szCs w:val="24"/>
          <w:lang w:eastAsia="sk-SK"/>
        </w:rPr>
        <w:t>[7]</w:t>
      </w:r>
      <w:r w:rsidR="00E416BB" w:rsidRPr="00FF5CE6">
        <w:rPr>
          <w:rFonts w:ascii="Times New Roman" w:eastAsia="Times New Roman" w:hAnsi="Times New Roman" w:cs="Times New Roman"/>
          <w:sz w:val="24"/>
          <w:szCs w:val="24"/>
          <w:lang w:eastAsia="sk-SK"/>
        </w:rPr>
        <w:fldChar w:fldCharType="end"/>
      </w:r>
      <w:bookmarkEnd w:id="8"/>
      <w:r w:rsidRPr="00FF5CE6">
        <w:rPr>
          <w:rFonts w:ascii="Times New Roman" w:eastAsia="Times New Roman" w:hAnsi="Times New Roman" w:cs="Times New Roman"/>
          <w:sz w:val="24"/>
          <w:szCs w:val="24"/>
          <w:lang w:eastAsia="sk-SK"/>
        </w:rPr>
        <w:t> (Maďarkso); Tullis Russell-ESOP</w:t>
      </w:r>
      <w:bookmarkStart w:id="9" w:name="_ftnref8"/>
      <w:r w:rsidR="00E416BB" w:rsidRPr="00FF5CE6">
        <w:rPr>
          <w:rFonts w:ascii="Times New Roman" w:eastAsia="Times New Roman" w:hAnsi="Times New Roman" w:cs="Times New Roman"/>
          <w:sz w:val="24"/>
          <w:szCs w:val="24"/>
          <w:lang w:eastAsia="sk-SK"/>
        </w:rPr>
        <w:fldChar w:fldCharType="begin"/>
      </w:r>
      <w:r w:rsidRPr="00FF5CE6">
        <w:rPr>
          <w:rFonts w:ascii="Times New Roman" w:eastAsia="Times New Roman" w:hAnsi="Times New Roman" w:cs="Times New Roman"/>
          <w:sz w:val="24"/>
          <w:szCs w:val="24"/>
          <w:lang w:eastAsia="sk-SK"/>
        </w:rPr>
        <w:instrText xml:space="preserve"> HYPERLINK "http://www.maussen.eu/cs/category/mytus/index.htm" \l "_ftn8" </w:instrText>
      </w:r>
      <w:r w:rsidR="00E416BB" w:rsidRPr="00FF5CE6">
        <w:rPr>
          <w:rFonts w:ascii="Times New Roman" w:eastAsia="Times New Roman" w:hAnsi="Times New Roman" w:cs="Times New Roman"/>
          <w:sz w:val="24"/>
          <w:szCs w:val="24"/>
          <w:lang w:eastAsia="sk-SK"/>
        </w:rPr>
        <w:fldChar w:fldCharType="separate"/>
      </w:r>
      <w:r w:rsidRPr="00FF5CE6">
        <w:rPr>
          <w:rFonts w:ascii="Times New Roman" w:eastAsia="Times New Roman" w:hAnsi="Times New Roman" w:cs="Times New Roman"/>
          <w:color w:val="BC360A"/>
          <w:sz w:val="24"/>
          <w:szCs w:val="24"/>
          <w:lang w:eastAsia="sk-SK"/>
        </w:rPr>
        <w:t>[8]</w:t>
      </w:r>
      <w:r w:rsidR="00E416BB" w:rsidRPr="00FF5CE6">
        <w:rPr>
          <w:rFonts w:ascii="Times New Roman" w:eastAsia="Times New Roman" w:hAnsi="Times New Roman" w:cs="Times New Roman"/>
          <w:sz w:val="24"/>
          <w:szCs w:val="24"/>
          <w:lang w:eastAsia="sk-SK"/>
        </w:rPr>
        <w:fldChar w:fldCharType="end"/>
      </w:r>
      <w:bookmarkEnd w:id="9"/>
      <w:r w:rsidRPr="00FF5CE6">
        <w:rPr>
          <w:rFonts w:ascii="Times New Roman" w:eastAsia="Times New Roman" w:hAnsi="Times New Roman" w:cs="Times New Roman"/>
          <w:sz w:val="24"/>
          <w:szCs w:val="24"/>
          <w:lang w:eastAsia="sk-SK"/>
        </w:rPr>
        <w:t> (UK); Eircom-ESOP</w:t>
      </w:r>
      <w:bookmarkStart w:id="10" w:name="_ftnref9"/>
      <w:r w:rsidR="00E416BB" w:rsidRPr="00FF5CE6">
        <w:rPr>
          <w:rFonts w:ascii="Times New Roman" w:eastAsia="Times New Roman" w:hAnsi="Times New Roman" w:cs="Times New Roman"/>
          <w:sz w:val="24"/>
          <w:szCs w:val="24"/>
          <w:lang w:eastAsia="sk-SK"/>
        </w:rPr>
        <w:fldChar w:fldCharType="begin"/>
      </w:r>
      <w:r w:rsidRPr="00FF5CE6">
        <w:rPr>
          <w:rFonts w:ascii="Times New Roman" w:eastAsia="Times New Roman" w:hAnsi="Times New Roman" w:cs="Times New Roman"/>
          <w:sz w:val="24"/>
          <w:szCs w:val="24"/>
          <w:lang w:eastAsia="sk-SK"/>
        </w:rPr>
        <w:instrText xml:space="preserve"> HYPERLINK "http://www.maussen.eu/cs/category/mytus/index.htm" \l "_ftn9" </w:instrText>
      </w:r>
      <w:r w:rsidR="00E416BB" w:rsidRPr="00FF5CE6">
        <w:rPr>
          <w:rFonts w:ascii="Times New Roman" w:eastAsia="Times New Roman" w:hAnsi="Times New Roman" w:cs="Times New Roman"/>
          <w:sz w:val="24"/>
          <w:szCs w:val="24"/>
          <w:lang w:eastAsia="sk-SK"/>
        </w:rPr>
        <w:fldChar w:fldCharType="separate"/>
      </w:r>
      <w:r w:rsidRPr="00FF5CE6">
        <w:rPr>
          <w:rFonts w:ascii="Times New Roman" w:eastAsia="Times New Roman" w:hAnsi="Times New Roman" w:cs="Times New Roman"/>
          <w:color w:val="BC360A"/>
          <w:sz w:val="24"/>
          <w:szCs w:val="24"/>
          <w:lang w:eastAsia="sk-SK"/>
        </w:rPr>
        <w:t>[9]</w:t>
      </w:r>
      <w:r w:rsidR="00E416BB" w:rsidRPr="00FF5CE6">
        <w:rPr>
          <w:rFonts w:ascii="Times New Roman" w:eastAsia="Times New Roman" w:hAnsi="Times New Roman" w:cs="Times New Roman"/>
          <w:sz w:val="24"/>
          <w:szCs w:val="24"/>
          <w:lang w:eastAsia="sk-SK"/>
        </w:rPr>
        <w:fldChar w:fldCharType="end"/>
      </w:r>
      <w:bookmarkEnd w:id="10"/>
      <w:r w:rsidRPr="00FF5CE6">
        <w:rPr>
          <w:rFonts w:ascii="Times New Roman" w:eastAsia="Times New Roman" w:hAnsi="Times New Roman" w:cs="Times New Roman"/>
          <w:sz w:val="24"/>
          <w:szCs w:val="24"/>
          <w:lang w:eastAsia="sk-SK"/>
        </w:rPr>
        <w:t> and Aerlingus-ESOP</w:t>
      </w:r>
      <w:bookmarkStart w:id="11" w:name="_ftnref10"/>
      <w:r w:rsidR="00E416BB" w:rsidRPr="00FF5CE6">
        <w:rPr>
          <w:rFonts w:ascii="Times New Roman" w:eastAsia="Times New Roman" w:hAnsi="Times New Roman" w:cs="Times New Roman"/>
          <w:sz w:val="24"/>
          <w:szCs w:val="24"/>
          <w:lang w:eastAsia="sk-SK"/>
        </w:rPr>
        <w:fldChar w:fldCharType="begin"/>
      </w:r>
      <w:r w:rsidRPr="00FF5CE6">
        <w:rPr>
          <w:rFonts w:ascii="Times New Roman" w:eastAsia="Times New Roman" w:hAnsi="Times New Roman" w:cs="Times New Roman"/>
          <w:sz w:val="24"/>
          <w:szCs w:val="24"/>
          <w:lang w:eastAsia="sk-SK"/>
        </w:rPr>
        <w:instrText xml:space="preserve"> HYPERLINK "http://www.maussen.eu/cs/category/mytus/index.htm" \l "_ftn10" </w:instrText>
      </w:r>
      <w:r w:rsidR="00E416BB" w:rsidRPr="00FF5CE6">
        <w:rPr>
          <w:rFonts w:ascii="Times New Roman" w:eastAsia="Times New Roman" w:hAnsi="Times New Roman" w:cs="Times New Roman"/>
          <w:sz w:val="24"/>
          <w:szCs w:val="24"/>
          <w:lang w:eastAsia="sk-SK"/>
        </w:rPr>
        <w:fldChar w:fldCharType="separate"/>
      </w:r>
      <w:r w:rsidRPr="00FF5CE6">
        <w:rPr>
          <w:rFonts w:ascii="Times New Roman" w:eastAsia="Times New Roman" w:hAnsi="Times New Roman" w:cs="Times New Roman"/>
          <w:color w:val="BC360A"/>
          <w:sz w:val="24"/>
          <w:szCs w:val="24"/>
          <w:lang w:eastAsia="sk-SK"/>
        </w:rPr>
        <w:t>[10]</w:t>
      </w:r>
      <w:r w:rsidR="00E416BB" w:rsidRPr="00FF5CE6">
        <w:rPr>
          <w:rFonts w:ascii="Times New Roman" w:eastAsia="Times New Roman" w:hAnsi="Times New Roman" w:cs="Times New Roman"/>
          <w:sz w:val="24"/>
          <w:szCs w:val="24"/>
          <w:lang w:eastAsia="sk-SK"/>
        </w:rPr>
        <w:fldChar w:fldCharType="end"/>
      </w:r>
      <w:bookmarkEnd w:id="11"/>
      <w:r w:rsidRPr="00FF5CE6">
        <w:rPr>
          <w:rFonts w:ascii="Times New Roman" w:eastAsia="Times New Roman" w:hAnsi="Times New Roman" w:cs="Times New Roman"/>
          <w:sz w:val="24"/>
          <w:szCs w:val="24"/>
          <w:lang w:eastAsia="sk-SK"/>
        </w:rPr>
        <w:t> (Irsko).</w:t>
      </w:r>
    </w:p>
    <w:p w:rsidR="00FF5CE6" w:rsidRPr="00FF5CE6" w:rsidRDefault="00E416BB" w:rsidP="00FF5CE6">
      <w:pPr>
        <w:spacing w:after="360" w:line="240" w:lineRule="auto"/>
        <w:rPr>
          <w:rFonts w:ascii="Times New Roman" w:eastAsia="Times New Roman" w:hAnsi="Times New Roman" w:cs="Times New Roman"/>
          <w:sz w:val="24"/>
          <w:szCs w:val="24"/>
          <w:lang w:eastAsia="sk-SK"/>
        </w:rPr>
      </w:pPr>
      <w:hyperlink r:id="rId99" w:anchor="_ftnref1" w:history="1">
        <w:r w:rsidR="00FF5CE6" w:rsidRPr="00FF5CE6">
          <w:rPr>
            <w:rFonts w:ascii="Times New Roman" w:eastAsia="Times New Roman" w:hAnsi="Times New Roman" w:cs="Times New Roman"/>
            <w:color w:val="BC360A"/>
            <w:sz w:val="24"/>
            <w:szCs w:val="24"/>
            <w:lang w:eastAsia="sk-SK"/>
          </w:rPr>
          <w:t>[1]</w:t>
        </w:r>
      </w:hyperlink>
      <w:r w:rsidR="00FF5CE6" w:rsidRPr="00FF5CE6">
        <w:rPr>
          <w:rFonts w:ascii="Times New Roman" w:eastAsia="Times New Roman" w:hAnsi="Times New Roman" w:cs="Times New Roman"/>
          <w:sz w:val="24"/>
          <w:szCs w:val="24"/>
          <w:lang w:eastAsia="sk-SK"/>
        </w:rPr>
        <w:t> In continental Europe usually a limited company, foundation or association, in the UK and North America a trust.</w:t>
      </w:r>
    </w:p>
    <w:p w:rsidR="00FF5CE6" w:rsidRPr="00FF5CE6" w:rsidRDefault="00E416BB" w:rsidP="00FF5CE6">
      <w:pPr>
        <w:spacing w:after="360" w:line="240" w:lineRule="auto"/>
        <w:rPr>
          <w:rFonts w:ascii="Times New Roman" w:eastAsia="Times New Roman" w:hAnsi="Times New Roman" w:cs="Times New Roman"/>
          <w:sz w:val="24"/>
          <w:szCs w:val="24"/>
          <w:lang w:eastAsia="sk-SK"/>
        </w:rPr>
      </w:pPr>
      <w:hyperlink r:id="rId100" w:anchor="_ftnref2" w:history="1">
        <w:r w:rsidR="00FF5CE6" w:rsidRPr="00FF5CE6">
          <w:rPr>
            <w:rFonts w:ascii="Times New Roman" w:eastAsia="Times New Roman" w:hAnsi="Times New Roman" w:cs="Times New Roman"/>
            <w:color w:val="BC360A"/>
            <w:sz w:val="24"/>
            <w:szCs w:val="24"/>
            <w:lang w:eastAsia="sk-SK"/>
          </w:rPr>
          <w:t>[2]</w:t>
        </w:r>
      </w:hyperlink>
      <w:bookmarkEnd w:id="3"/>
      <w:r w:rsidR="00FF5CE6" w:rsidRPr="00FF5CE6">
        <w:rPr>
          <w:rFonts w:ascii="Times New Roman" w:eastAsia="Times New Roman" w:hAnsi="Times New Roman" w:cs="Times New Roman"/>
          <w:sz w:val="24"/>
          <w:szCs w:val="24"/>
          <w:lang w:eastAsia="sk-SK"/>
        </w:rPr>
        <w:t> Purpose: enhancing loyalty and employee motivation; </w:t>
      </w:r>
      <w:hyperlink r:id="rId101" w:history="1">
        <w:r w:rsidR="00FF5CE6" w:rsidRPr="00FF5CE6">
          <w:rPr>
            <w:rFonts w:ascii="Times New Roman" w:eastAsia="Times New Roman" w:hAnsi="Times New Roman" w:cs="Times New Roman"/>
            <w:color w:val="BC360A"/>
            <w:sz w:val="24"/>
            <w:szCs w:val="24"/>
            <w:lang w:eastAsia="sk-SK"/>
          </w:rPr>
          <w:t>http://www.groupe-auchan.com/emploi.html</w:t>
        </w:r>
      </w:hyperlink>
      <w:r w:rsidR="00FF5CE6" w:rsidRPr="00FF5CE6">
        <w:rPr>
          <w:rFonts w:ascii="Times New Roman" w:eastAsia="Times New Roman" w:hAnsi="Times New Roman" w:cs="Times New Roman"/>
          <w:sz w:val="24"/>
          <w:szCs w:val="24"/>
          <w:lang w:eastAsia="sk-SK"/>
        </w:rPr>
        <w:t>.</w:t>
      </w:r>
    </w:p>
    <w:bookmarkStart w:id="12" w:name="_ftn3"/>
    <w:p w:rsidR="00FF5CE6" w:rsidRPr="00FF5CE6" w:rsidRDefault="00E416BB"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fldChar w:fldCharType="begin"/>
      </w:r>
      <w:r w:rsidR="00FF5CE6" w:rsidRPr="00FF5CE6">
        <w:rPr>
          <w:rFonts w:ascii="Times New Roman" w:eastAsia="Times New Roman" w:hAnsi="Times New Roman" w:cs="Times New Roman"/>
          <w:sz w:val="24"/>
          <w:szCs w:val="24"/>
          <w:lang w:eastAsia="sk-SK"/>
        </w:rPr>
        <w:instrText xml:space="preserve"> HYPERLINK "http://www.maussen.eu/cs/category/mytus/index.htm" \l "_ftnref3" </w:instrText>
      </w:r>
      <w:r w:rsidRPr="00FF5CE6">
        <w:rPr>
          <w:rFonts w:ascii="Times New Roman" w:eastAsia="Times New Roman" w:hAnsi="Times New Roman" w:cs="Times New Roman"/>
          <w:sz w:val="24"/>
          <w:szCs w:val="24"/>
          <w:lang w:eastAsia="sk-SK"/>
        </w:rPr>
        <w:fldChar w:fldCharType="separate"/>
      </w:r>
      <w:r w:rsidR="00FF5CE6" w:rsidRPr="00FF5CE6">
        <w:rPr>
          <w:rFonts w:ascii="Times New Roman" w:eastAsia="Times New Roman" w:hAnsi="Times New Roman" w:cs="Times New Roman"/>
          <w:color w:val="BC360A"/>
          <w:sz w:val="24"/>
          <w:szCs w:val="24"/>
          <w:lang w:eastAsia="sk-SK"/>
        </w:rPr>
        <w:t>[3]</w:t>
      </w:r>
      <w:r w:rsidRPr="00FF5CE6">
        <w:rPr>
          <w:rFonts w:ascii="Times New Roman" w:eastAsia="Times New Roman" w:hAnsi="Times New Roman" w:cs="Times New Roman"/>
          <w:sz w:val="24"/>
          <w:szCs w:val="24"/>
          <w:lang w:eastAsia="sk-SK"/>
        </w:rPr>
        <w:fldChar w:fldCharType="end"/>
      </w:r>
      <w:bookmarkEnd w:id="12"/>
      <w:r w:rsidR="00FF5CE6" w:rsidRPr="00FF5CE6">
        <w:rPr>
          <w:rFonts w:ascii="Times New Roman" w:eastAsia="Times New Roman" w:hAnsi="Times New Roman" w:cs="Times New Roman"/>
          <w:sz w:val="24"/>
          <w:szCs w:val="24"/>
          <w:lang w:eastAsia="sk-SK"/>
        </w:rPr>
        <w:t> Purpose: financing of growth; </w:t>
      </w:r>
      <w:hyperlink r:id="rId102" w:history="1">
        <w:r w:rsidR="00FF5CE6" w:rsidRPr="00FF5CE6">
          <w:rPr>
            <w:rFonts w:ascii="Times New Roman" w:eastAsia="Times New Roman" w:hAnsi="Times New Roman" w:cs="Times New Roman"/>
            <w:color w:val="BC360A"/>
            <w:sz w:val="24"/>
            <w:szCs w:val="24"/>
            <w:lang w:eastAsia="sk-SK"/>
          </w:rPr>
          <w:t>http://www.homag.com/de-de/career/Seiten/mitarbeiterkapitalbeteiligung.aspx</w:t>
        </w:r>
      </w:hyperlink>
      <w:r w:rsidR="00FF5CE6" w:rsidRPr="00FF5CE6">
        <w:rPr>
          <w:rFonts w:ascii="Times New Roman" w:eastAsia="Times New Roman" w:hAnsi="Times New Roman" w:cs="Times New Roman"/>
          <w:sz w:val="24"/>
          <w:szCs w:val="24"/>
          <w:lang w:eastAsia="sk-SK"/>
        </w:rPr>
        <w:t>.</w:t>
      </w:r>
    </w:p>
    <w:bookmarkStart w:id="13" w:name="_ftn4"/>
    <w:p w:rsidR="00FF5CE6" w:rsidRPr="00FF5CE6" w:rsidRDefault="00E416BB"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fldChar w:fldCharType="begin"/>
      </w:r>
      <w:r w:rsidR="00FF5CE6" w:rsidRPr="00FF5CE6">
        <w:rPr>
          <w:rFonts w:ascii="Times New Roman" w:eastAsia="Times New Roman" w:hAnsi="Times New Roman" w:cs="Times New Roman"/>
          <w:sz w:val="24"/>
          <w:szCs w:val="24"/>
          <w:lang w:eastAsia="sk-SK"/>
        </w:rPr>
        <w:instrText xml:space="preserve"> HYPERLINK "http://www.maussen.eu/cs/category/mytus/index.htm" \l "_ftnref4" </w:instrText>
      </w:r>
      <w:r w:rsidRPr="00FF5CE6">
        <w:rPr>
          <w:rFonts w:ascii="Times New Roman" w:eastAsia="Times New Roman" w:hAnsi="Times New Roman" w:cs="Times New Roman"/>
          <w:sz w:val="24"/>
          <w:szCs w:val="24"/>
          <w:lang w:eastAsia="sk-SK"/>
        </w:rPr>
        <w:fldChar w:fldCharType="separate"/>
      </w:r>
      <w:r w:rsidR="00FF5CE6" w:rsidRPr="00FF5CE6">
        <w:rPr>
          <w:rFonts w:ascii="Times New Roman" w:eastAsia="Times New Roman" w:hAnsi="Times New Roman" w:cs="Times New Roman"/>
          <w:color w:val="BC360A"/>
          <w:sz w:val="24"/>
          <w:szCs w:val="24"/>
          <w:lang w:eastAsia="sk-SK"/>
        </w:rPr>
        <w:t>[4]</w:t>
      </w:r>
      <w:r w:rsidRPr="00FF5CE6">
        <w:rPr>
          <w:rFonts w:ascii="Times New Roman" w:eastAsia="Times New Roman" w:hAnsi="Times New Roman" w:cs="Times New Roman"/>
          <w:sz w:val="24"/>
          <w:szCs w:val="24"/>
          <w:lang w:eastAsia="sk-SK"/>
        </w:rPr>
        <w:fldChar w:fldCharType="end"/>
      </w:r>
      <w:bookmarkEnd w:id="13"/>
      <w:r w:rsidR="00FF5CE6" w:rsidRPr="00FF5CE6">
        <w:rPr>
          <w:rFonts w:ascii="Times New Roman" w:eastAsia="Times New Roman" w:hAnsi="Times New Roman" w:cs="Times New Roman"/>
          <w:sz w:val="24"/>
          <w:szCs w:val="24"/>
          <w:lang w:eastAsia="sk-SK"/>
        </w:rPr>
        <w:t> Purpose: EADS spin-off; </w:t>
      </w:r>
      <w:hyperlink r:id="rId103" w:history="1">
        <w:r w:rsidR="00FF5CE6" w:rsidRPr="00FF5CE6">
          <w:rPr>
            <w:rFonts w:ascii="Times New Roman" w:eastAsia="Times New Roman" w:hAnsi="Times New Roman" w:cs="Times New Roman"/>
            <w:color w:val="BC360A"/>
            <w:sz w:val="24"/>
            <w:szCs w:val="24"/>
            <w:lang w:eastAsia="sk-SK"/>
          </w:rPr>
          <w:t>http://www.netz-bund.de/pages/mitarbges.pdf</w:t>
        </w:r>
      </w:hyperlink>
      <w:r w:rsidR="00FF5CE6" w:rsidRPr="00FF5CE6">
        <w:rPr>
          <w:rFonts w:ascii="Times New Roman" w:eastAsia="Times New Roman" w:hAnsi="Times New Roman" w:cs="Times New Roman"/>
          <w:sz w:val="24"/>
          <w:szCs w:val="24"/>
          <w:lang w:eastAsia="sk-SK"/>
        </w:rPr>
        <w:t>, p. 32 et seq.</w:t>
      </w:r>
    </w:p>
    <w:bookmarkStart w:id="14" w:name="_ftn5"/>
    <w:p w:rsidR="00FF5CE6" w:rsidRPr="00FF5CE6" w:rsidRDefault="00E416BB"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fldChar w:fldCharType="begin"/>
      </w:r>
      <w:r w:rsidR="00FF5CE6" w:rsidRPr="00FF5CE6">
        <w:rPr>
          <w:rFonts w:ascii="Times New Roman" w:eastAsia="Times New Roman" w:hAnsi="Times New Roman" w:cs="Times New Roman"/>
          <w:sz w:val="24"/>
          <w:szCs w:val="24"/>
          <w:lang w:eastAsia="sk-SK"/>
        </w:rPr>
        <w:instrText xml:space="preserve"> HYPERLINK "http://www.maussen.eu/cs/category/mytus/index.htm" \l "_ftnref5" </w:instrText>
      </w:r>
      <w:r w:rsidRPr="00FF5CE6">
        <w:rPr>
          <w:rFonts w:ascii="Times New Roman" w:eastAsia="Times New Roman" w:hAnsi="Times New Roman" w:cs="Times New Roman"/>
          <w:sz w:val="24"/>
          <w:szCs w:val="24"/>
          <w:lang w:eastAsia="sk-SK"/>
        </w:rPr>
        <w:fldChar w:fldCharType="separate"/>
      </w:r>
      <w:r w:rsidR="00FF5CE6" w:rsidRPr="00FF5CE6">
        <w:rPr>
          <w:rFonts w:ascii="Times New Roman" w:eastAsia="Times New Roman" w:hAnsi="Times New Roman" w:cs="Times New Roman"/>
          <w:color w:val="BC360A"/>
          <w:sz w:val="24"/>
          <w:szCs w:val="24"/>
          <w:lang w:eastAsia="sk-SK"/>
        </w:rPr>
        <w:t>[5]</w:t>
      </w:r>
      <w:r w:rsidRPr="00FF5CE6">
        <w:rPr>
          <w:rFonts w:ascii="Times New Roman" w:eastAsia="Times New Roman" w:hAnsi="Times New Roman" w:cs="Times New Roman"/>
          <w:sz w:val="24"/>
          <w:szCs w:val="24"/>
          <w:lang w:eastAsia="sk-SK"/>
        </w:rPr>
        <w:fldChar w:fldCharType="end"/>
      </w:r>
      <w:bookmarkEnd w:id="14"/>
      <w:r w:rsidR="00FF5CE6" w:rsidRPr="00FF5CE6">
        <w:rPr>
          <w:rFonts w:ascii="Times New Roman" w:eastAsia="Times New Roman" w:hAnsi="Times New Roman" w:cs="Times New Roman"/>
          <w:sz w:val="24"/>
          <w:szCs w:val="24"/>
          <w:lang w:eastAsia="sk-SK"/>
        </w:rPr>
        <w:t> Purpose: privatisation and strategic shareholding; </w:t>
      </w:r>
      <w:hyperlink r:id="rId104" w:history="1">
        <w:r w:rsidR="00FF5CE6" w:rsidRPr="00FF5CE6">
          <w:rPr>
            <w:rFonts w:ascii="Times New Roman" w:eastAsia="Times New Roman" w:hAnsi="Times New Roman" w:cs="Times New Roman"/>
            <w:color w:val="BC360A"/>
            <w:sz w:val="24"/>
            <w:szCs w:val="24"/>
            <w:lang w:eastAsia="sk-SK"/>
          </w:rPr>
          <w:t>http://www.voestalpine.com/annualreport0809/en/management_report/employees.html</w:t>
        </w:r>
      </w:hyperlink>
      <w:r w:rsidR="00FF5CE6" w:rsidRPr="00FF5CE6">
        <w:rPr>
          <w:rFonts w:ascii="Times New Roman" w:eastAsia="Times New Roman" w:hAnsi="Times New Roman" w:cs="Times New Roman"/>
          <w:sz w:val="24"/>
          <w:szCs w:val="24"/>
          <w:lang w:eastAsia="sk-SK"/>
        </w:rPr>
        <w:t>.</w:t>
      </w:r>
    </w:p>
    <w:bookmarkStart w:id="15" w:name="_ftn6"/>
    <w:p w:rsidR="00FF5CE6" w:rsidRPr="00FF5CE6" w:rsidRDefault="00E416BB"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fldChar w:fldCharType="begin"/>
      </w:r>
      <w:r w:rsidR="00FF5CE6" w:rsidRPr="00FF5CE6">
        <w:rPr>
          <w:rFonts w:ascii="Times New Roman" w:eastAsia="Times New Roman" w:hAnsi="Times New Roman" w:cs="Times New Roman"/>
          <w:sz w:val="24"/>
          <w:szCs w:val="24"/>
          <w:lang w:eastAsia="sk-SK"/>
        </w:rPr>
        <w:instrText xml:space="preserve"> HYPERLINK "http://www.maussen.eu/cs/category/mytus/index.htm" \l "_ftnref6" </w:instrText>
      </w:r>
      <w:r w:rsidRPr="00FF5CE6">
        <w:rPr>
          <w:rFonts w:ascii="Times New Roman" w:eastAsia="Times New Roman" w:hAnsi="Times New Roman" w:cs="Times New Roman"/>
          <w:sz w:val="24"/>
          <w:szCs w:val="24"/>
          <w:lang w:eastAsia="sk-SK"/>
        </w:rPr>
        <w:fldChar w:fldCharType="separate"/>
      </w:r>
      <w:r w:rsidR="00FF5CE6" w:rsidRPr="00FF5CE6">
        <w:rPr>
          <w:rFonts w:ascii="Times New Roman" w:eastAsia="Times New Roman" w:hAnsi="Times New Roman" w:cs="Times New Roman"/>
          <w:color w:val="BC360A"/>
          <w:sz w:val="24"/>
          <w:szCs w:val="24"/>
          <w:lang w:eastAsia="sk-SK"/>
        </w:rPr>
        <w:t>[6]</w:t>
      </w:r>
      <w:r w:rsidRPr="00FF5CE6">
        <w:rPr>
          <w:rFonts w:ascii="Times New Roman" w:eastAsia="Times New Roman" w:hAnsi="Times New Roman" w:cs="Times New Roman"/>
          <w:sz w:val="24"/>
          <w:szCs w:val="24"/>
          <w:lang w:eastAsia="sk-SK"/>
        </w:rPr>
        <w:fldChar w:fldCharType="end"/>
      </w:r>
      <w:bookmarkEnd w:id="15"/>
      <w:r w:rsidR="00FF5CE6" w:rsidRPr="00FF5CE6">
        <w:rPr>
          <w:rFonts w:ascii="Times New Roman" w:eastAsia="Times New Roman" w:hAnsi="Times New Roman" w:cs="Times New Roman"/>
          <w:sz w:val="24"/>
          <w:szCs w:val="24"/>
          <w:lang w:eastAsia="sk-SK"/>
        </w:rPr>
        <w:t> Purpose: enhancing loyalty and employee motivation; see Handelsbanken, Annual Report 2009, </w:t>
      </w:r>
      <w:hyperlink r:id="rId105" w:history="1">
        <w:r w:rsidR="00FF5CE6" w:rsidRPr="00FF5CE6">
          <w:rPr>
            <w:rFonts w:ascii="Times New Roman" w:eastAsia="Times New Roman" w:hAnsi="Times New Roman" w:cs="Times New Roman"/>
            <w:color w:val="BC360A"/>
            <w:sz w:val="24"/>
            <w:szCs w:val="24"/>
            <w:lang w:eastAsia="sk-SK"/>
          </w:rPr>
          <w:t>http://www.handelsbanken.se/shb/inet/icentsv.nsf/vlookuppics/investor_relations_en_hb_09_eng_ar_rev/$file/hb09eng_medfoto.pdf</w:t>
        </w:r>
      </w:hyperlink>
      <w:r w:rsidR="00FF5CE6" w:rsidRPr="00FF5CE6">
        <w:rPr>
          <w:rFonts w:ascii="Times New Roman" w:eastAsia="Times New Roman" w:hAnsi="Times New Roman" w:cs="Times New Roman"/>
          <w:sz w:val="24"/>
          <w:szCs w:val="24"/>
          <w:lang w:eastAsia="sk-SK"/>
        </w:rPr>
        <w:t>, pp. 53, 56.</w:t>
      </w:r>
    </w:p>
    <w:bookmarkStart w:id="16" w:name="_ftn7"/>
    <w:p w:rsidR="00FF5CE6" w:rsidRPr="00FF5CE6" w:rsidRDefault="00E416BB"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fldChar w:fldCharType="begin"/>
      </w:r>
      <w:r w:rsidR="00FF5CE6" w:rsidRPr="00FF5CE6">
        <w:rPr>
          <w:rFonts w:ascii="Times New Roman" w:eastAsia="Times New Roman" w:hAnsi="Times New Roman" w:cs="Times New Roman"/>
          <w:sz w:val="24"/>
          <w:szCs w:val="24"/>
          <w:lang w:eastAsia="sk-SK"/>
        </w:rPr>
        <w:instrText xml:space="preserve"> HYPERLINK "http://www.maussen.eu/cs/category/mytus/index.htm" \l "_ftnref7" </w:instrText>
      </w:r>
      <w:r w:rsidRPr="00FF5CE6">
        <w:rPr>
          <w:rFonts w:ascii="Times New Roman" w:eastAsia="Times New Roman" w:hAnsi="Times New Roman" w:cs="Times New Roman"/>
          <w:sz w:val="24"/>
          <w:szCs w:val="24"/>
          <w:lang w:eastAsia="sk-SK"/>
        </w:rPr>
        <w:fldChar w:fldCharType="separate"/>
      </w:r>
      <w:r w:rsidR="00FF5CE6" w:rsidRPr="00FF5CE6">
        <w:rPr>
          <w:rFonts w:ascii="Times New Roman" w:eastAsia="Times New Roman" w:hAnsi="Times New Roman" w:cs="Times New Roman"/>
          <w:color w:val="BC360A"/>
          <w:sz w:val="24"/>
          <w:szCs w:val="24"/>
          <w:lang w:eastAsia="sk-SK"/>
        </w:rPr>
        <w:t>[7]</w:t>
      </w:r>
      <w:r w:rsidRPr="00FF5CE6">
        <w:rPr>
          <w:rFonts w:ascii="Times New Roman" w:eastAsia="Times New Roman" w:hAnsi="Times New Roman" w:cs="Times New Roman"/>
          <w:sz w:val="24"/>
          <w:szCs w:val="24"/>
          <w:lang w:eastAsia="sk-SK"/>
        </w:rPr>
        <w:fldChar w:fldCharType="end"/>
      </w:r>
      <w:bookmarkEnd w:id="16"/>
      <w:r w:rsidR="00FF5CE6" w:rsidRPr="00FF5CE6">
        <w:rPr>
          <w:rFonts w:ascii="Times New Roman" w:eastAsia="Times New Roman" w:hAnsi="Times New Roman" w:cs="Times New Roman"/>
          <w:sz w:val="24"/>
          <w:szCs w:val="24"/>
          <w:lang w:eastAsia="sk-SK"/>
        </w:rPr>
        <w:t> Purpose: privatisation as well as enhancing loyalty and employee motivation; </w:t>
      </w:r>
      <w:hyperlink r:id="rId106" w:history="1">
        <w:r w:rsidR="00FF5CE6" w:rsidRPr="00FF5CE6">
          <w:rPr>
            <w:rFonts w:ascii="Times New Roman" w:eastAsia="Times New Roman" w:hAnsi="Times New Roman" w:cs="Times New Roman"/>
            <w:color w:val="BC360A"/>
            <w:sz w:val="24"/>
            <w:szCs w:val="24"/>
            <w:lang w:eastAsia="sk-SK"/>
          </w:rPr>
          <w:t>http://www.herend.com/en/manufactory/story/</w:t>
        </w:r>
      </w:hyperlink>
      <w:r w:rsidR="00FF5CE6" w:rsidRPr="00FF5CE6">
        <w:rPr>
          <w:rFonts w:ascii="Times New Roman" w:eastAsia="Times New Roman" w:hAnsi="Times New Roman" w:cs="Times New Roman"/>
          <w:sz w:val="24"/>
          <w:szCs w:val="24"/>
          <w:lang w:eastAsia="sk-SK"/>
        </w:rPr>
        <w:t>, lacking details on ESOP, see year 1992.</w:t>
      </w:r>
    </w:p>
    <w:bookmarkStart w:id="17" w:name="_ftn8"/>
    <w:p w:rsidR="00FF5CE6" w:rsidRPr="00FF5CE6" w:rsidRDefault="00E416BB"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fldChar w:fldCharType="begin"/>
      </w:r>
      <w:r w:rsidR="00FF5CE6" w:rsidRPr="00FF5CE6">
        <w:rPr>
          <w:rFonts w:ascii="Times New Roman" w:eastAsia="Times New Roman" w:hAnsi="Times New Roman" w:cs="Times New Roman"/>
          <w:sz w:val="24"/>
          <w:szCs w:val="24"/>
          <w:lang w:eastAsia="sk-SK"/>
        </w:rPr>
        <w:instrText xml:space="preserve"> HYPERLINK "http://www.maussen.eu/cs/category/mytus/index.htm" \l "_ftnref8" </w:instrText>
      </w:r>
      <w:r w:rsidRPr="00FF5CE6">
        <w:rPr>
          <w:rFonts w:ascii="Times New Roman" w:eastAsia="Times New Roman" w:hAnsi="Times New Roman" w:cs="Times New Roman"/>
          <w:sz w:val="24"/>
          <w:szCs w:val="24"/>
          <w:lang w:eastAsia="sk-SK"/>
        </w:rPr>
        <w:fldChar w:fldCharType="separate"/>
      </w:r>
      <w:r w:rsidR="00FF5CE6" w:rsidRPr="00FF5CE6">
        <w:rPr>
          <w:rFonts w:ascii="Times New Roman" w:eastAsia="Times New Roman" w:hAnsi="Times New Roman" w:cs="Times New Roman"/>
          <w:color w:val="BC360A"/>
          <w:sz w:val="24"/>
          <w:szCs w:val="24"/>
          <w:lang w:eastAsia="sk-SK"/>
        </w:rPr>
        <w:t>[8]</w:t>
      </w:r>
      <w:r w:rsidRPr="00FF5CE6">
        <w:rPr>
          <w:rFonts w:ascii="Times New Roman" w:eastAsia="Times New Roman" w:hAnsi="Times New Roman" w:cs="Times New Roman"/>
          <w:sz w:val="24"/>
          <w:szCs w:val="24"/>
          <w:lang w:eastAsia="sk-SK"/>
        </w:rPr>
        <w:fldChar w:fldCharType="end"/>
      </w:r>
      <w:bookmarkEnd w:id="17"/>
      <w:r w:rsidR="00FF5CE6" w:rsidRPr="00FF5CE6">
        <w:rPr>
          <w:rFonts w:ascii="Times New Roman" w:eastAsia="Times New Roman" w:hAnsi="Times New Roman" w:cs="Times New Roman"/>
          <w:sz w:val="24"/>
          <w:szCs w:val="24"/>
          <w:lang w:eastAsia="sk-SK"/>
        </w:rPr>
        <w:t> Purpose: business succession; </w:t>
      </w:r>
      <w:hyperlink r:id="rId107" w:history="1">
        <w:r w:rsidR="00FF5CE6" w:rsidRPr="00FF5CE6">
          <w:rPr>
            <w:rFonts w:ascii="Times New Roman" w:eastAsia="Times New Roman" w:hAnsi="Times New Roman" w:cs="Times New Roman"/>
            <w:color w:val="BC360A"/>
            <w:sz w:val="24"/>
            <w:szCs w:val="24"/>
            <w:lang w:eastAsia="sk-SK"/>
          </w:rPr>
          <w:t>http://www.tullis-russell.co.uk/group/about/</w:t>
        </w:r>
      </w:hyperlink>
      <w:r w:rsidR="00FF5CE6" w:rsidRPr="00FF5CE6">
        <w:rPr>
          <w:rFonts w:ascii="Times New Roman" w:eastAsia="Times New Roman" w:hAnsi="Times New Roman" w:cs="Times New Roman"/>
          <w:sz w:val="24"/>
          <w:szCs w:val="24"/>
          <w:lang w:eastAsia="sk-SK"/>
        </w:rPr>
        <w:t>.</w:t>
      </w:r>
    </w:p>
    <w:bookmarkStart w:id="18" w:name="_ftn9"/>
    <w:p w:rsidR="00FF5CE6" w:rsidRPr="00FF5CE6" w:rsidRDefault="00E416BB"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fldChar w:fldCharType="begin"/>
      </w:r>
      <w:r w:rsidR="00FF5CE6" w:rsidRPr="00FF5CE6">
        <w:rPr>
          <w:rFonts w:ascii="Times New Roman" w:eastAsia="Times New Roman" w:hAnsi="Times New Roman" w:cs="Times New Roman"/>
          <w:sz w:val="24"/>
          <w:szCs w:val="24"/>
          <w:lang w:eastAsia="sk-SK"/>
        </w:rPr>
        <w:instrText xml:space="preserve"> HYPERLINK "http://www.maussen.eu/cs/category/mytus/index.htm" \l "_ftnref9" </w:instrText>
      </w:r>
      <w:r w:rsidRPr="00FF5CE6">
        <w:rPr>
          <w:rFonts w:ascii="Times New Roman" w:eastAsia="Times New Roman" w:hAnsi="Times New Roman" w:cs="Times New Roman"/>
          <w:sz w:val="24"/>
          <w:szCs w:val="24"/>
          <w:lang w:eastAsia="sk-SK"/>
        </w:rPr>
        <w:fldChar w:fldCharType="separate"/>
      </w:r>
      <w:r w:rsidR="00FF5CE6" w:rsidRPr="00FF5CE6">
        <w:rPr>
          <w:rFonts w:ascii="Times New Roman" w:eastAsia="Times New Roman" w:hAnsi="Times New Roman" w:cs="Times New Roman"/>
          <w:color w:val="BC360A"/>
          <w:sz w:val="24"/>
          <w:szCs w:val="24"/>
          <w:lang w:eastAsia="sk-SK"/>
        </w:rPr>
        <w:t>[9]</w:t>
      </w:r>
      <w:r w:rsidRPr="00FF5CE6">
        <w:rPr>
          <w:rFonts w:ascii="Times New Roman" w:eastAsia="Times New Roman" w:hAnsi="Times New Roman" w:cs="Times New Roman"/>
          <w:sz w:val="24"/>
          <w:szCs w:val="24"/>
          <w:lang w:eastAsia="sk-SK"/>
        </w:rPr>
        <w:fldChar w:fldCharType="end"/>
      </w:r>
      <w:bookmarkEnd w:id="18"/>
      <w:r w:rsidR="00FF5CE6" w:rsidRPr="00FF5CE6">
        <w:rPr>
          <w:rFonts w:ascii="Times New Roman" w:eastAsia="Times New Roman" w:hAnsi="Times New Roman" w:cs="Times New Roman"/>
          <w:sz w:val="24"/>
          <w:szCs w:val="24"/>
          <w:lang w:eastAsia="sk-SK"/>
        </w:rPr>
        <w:t> Purpose: privatisation and strategic shareholding; </w:t>
      </w:r>
      <w:hyperlink r:id="rId108" w:history="1">
        <w:r w:rsidR="00FF5CE6" w:rsidRPr="00FF5CE6">
          <w:rPr>
            <w:rFonts w:ascii="Times New Roman" w:eastAsia="Times New Roman" w:hAnsi="Times New Roman" w:cs="Times New Roman"/>
            <w:color w:val="BC360A"/>
            <w:sz w:val="24"/>
            <w:szCs w:val="24"/>
            <w:lang w:eastAsia="sk-SK"/>
          </w:rPr>
          <w:t>http://www.esop.eircom.ie/</w:t>
        </w:r>
      </w:hyperlink>
      <w:r w:rsidR="00FF5CE6" w:rsidRPr="00FF5CE6">
        <w:rPr>
          <w:rFonts w:ascii="Times New Roman" w:eastAsia="Times New Roman" w:hAnsi="Times New Roman" w:cs="Times New Roman"/>
          <w:sz w:val="24"/>
          <w:szCs w:val="24"/>
          <w:lang w:eastAsia="sk-SK"/>
        </w:rPr>
        <w:t>.</w:t>
      </w:r>
    </w:p>
    <w:bookmarkStart w:id="19" w:name="_ftn10"/>
    <w:p w:rsidR="00FF5CE6" w:rsidRPr="00FF5CE6" w:rsidRDefault="00E416BB" w:rsidP="00FF5CE6">
      <w:pPr>
        <w:spacing w:after="360" w:line="240" w:lineRule="auto"/>
        <w:rPr>
          <w:rFonts w:ascii="Times New Roman" w:eastAsia="Times New Roman" w:hAnsi="Times New Roman" w:cs="Times New Roman"/>
          <w:sz w:val="24"/>
          <w:szCs w:val="24"/>
          <w:lang w:eastAsia="sk-SK"/>
        </w:rPr>
      </w:pPr>
      <w:r w:rsidRPr="00FF5CE6">
        <w:rPr>
          <w:rFonts w:ascii="Times New Roman" w:eastAsia="Times New Roman" w:hAnsi="Times New Roman" w:cs="Times New Roman"/>
          <w:sz w:val="24"/>
          <w:szCs w:val="24"/>
          <w:lang w:eastAsia="sk-SK"/>
        </w:rPr>
        <w:fldChar w:fldCharType="begin"/>
      </w:r>
      <w:r w:rsidR="00FF5CE6" w:rsidRPr="00FF5CE6">
        <w:rPr>
          <w:rFonts w:ascii="Times New Roman" w:eastAsia="Times New Roman" w:hAnsi="Times New Roman" w:cs="Times New Roman"/>
          <w:sz w:val="24"/>
          <w:szCs w:val="24"/>
          <w:lang w:eastAsia="sk-SK"/>
        </w:rPr>
        <w:instrText xml:space="preserve"> HYPERLINK "http://www.maussen.eu/cs/category/mytus/index.htm" \l "_ftnref10" </w:instrText>
      </w:r>
      <w:r w:rsidRPr="00FF5CE6">
        <w:rPr>
          <w:rFonts w:ascii="Times New Roman" w:eastAsia="Times New Roman" w:hAnsi="Times New Roman" w:cs="Times New Roman"/>
          <w:sz w:val="24"/>
          <w:szCs w:val="24"/>
          <w:lang w:eastAsia="sk-SK"/>
        </w:rPr>
        <w:fldChar w:fldCharType="separate"/>
      </w:r>
      <w:r w:rsidR="00FF5CE6" w:rsidRPr="00FF5CE6">
        <w:rPr>
          <w:rFonts w:ascii="Times New Roman" w:eastAsia="Times New Roman" w:hAnsi="Times New Roman" w:cs="Times New Roman"/>
          <w:color w:val="BC360A"/>
          <w:sz w:val="24"/>
          <w:szCs w:val="24"/>
          <w:lang w:eastAsia="sk-SK"/>
        </w:rPr>
        <w:t>[10]</w:t>
      </w:r>
      <w:r w:rsidRPr="00FF5CE6">
        <w:rPr>
          <w:rFonts w:ascii="Times New Roman" w:eastAsia="Times New Roman" w:hAnsi="Times New Roman" w:cs="Times New Roman"/>
          <w:sz w:val="24"/>
          <w:szCs w:val="24"/>
          <w:lang w:eastAsia="sk-SK"/>
        </w:rPr>
        <w:fldChar w:fldCharType="end"/>
      </w:r>
      <w:bookmarkEnd w:id="19"/>
      <w:r w:rsidR="00FF5CE6" w:rsidRPr="00FF5CE6">
        <w:rPr>
          <w:rFonts w:ascii="Times New Roman" w:eastAsia="Times New Roman" w:hAnsi="Times New Roman" w:cs="Times New Roman"/>
          <w:sz w:val="24"/>
          <w:szCs w:val="24"/>
          <w:lang w:eastAsia="sk-SK"/>
        </w:rPr>
        <w:t> Purpose: privatisation and strategic shareholding; </w:t>
      </w:r>
      <w:hyperlink r:id="rId109" w:history="1">
        <w:r w:rsidR="00FF5CE6" w:rsidRPr="00FF5CE6">
          <w:rPr>
            <w:rFonts w:ascii="Times New Roman" w:eastAsia="Times New Roman" w:hAnsi="Times New Roman" w:cs="Times New Roman"/>
            <w:color w:val="BC360A"/>
            <w:sz w:val="24"/>
            <w:szCs w:val="24"/>
            <w:lang w:eastAsia="sk-SK"/>
          </w:rPr>
          <w:t>http://www.aerlingus.com/aboutus/investorrelations/shareregister/</w:t>
        </w:r>
      </w:hyperlink>
      <w:r w:rsidR="00FF5CE6" w:rsidRPr="00FF5CE6">
        <w:rPr>
          <w:rFonts w:ascii="Times New Roman" w:eastAsia="Times New Roman" w:hAnsi="Times New Roman" w:cs="Times New Roman"/>
          <w:sz w:val="24"/>
          <w:szCs w:val="24"/>
          <w:lang w:eastAsia="sk-SK"/>
        </w:rPr>
        <w:t>.</w:t>
      </w:r>
    </w:p>
    <w:p w:rsidR="00FF5CE6" w:rsidRPr="00FF5CE6" w:rsidRDefault="00FF5CE6" w:rsidP="00FF5CE6"/>
    <w:sectPr w:rsidR="00FF5CE6" w:rsidRPr="00FF5CE6" w:rsidSect="008B17E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var(--ricos-font-family,unset)">
    <w:altName w:val="Times New Roman"/>
    <w:panose1 w:val="00000000000000000000"/>
    <w:charset w:val="00"/>
    <w:family w:val="roman"/>
    <w:notTrueType/>
    <w:pitch w:val="default"/>
    <w:sig w:usb0="00000000" w:usb1="00000000" w:usb2="00000000" w:usb3="00000000" w:csb0="00000000" w:csb1="00000000"/>
  </w:font>
  <w:font w:name="orig_poppins_regular">
    <w:altName w:val="Times New Roman"/>
    <w:panose1 w:val="00000000000000000000"/>
    <w:charset w:val="00"/>
    <w:family w:val="roman"/>
    <w:notTrueType/>
    <w:pitch w:val="default"/>
    <w:sig w:usb0="00000000" w:usb1="00000000" w:usb2="00000000" w:usb3="00000000" w:csb0="00000000"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A83C5D"/>
    <w:multiLevelType w:val="multilevel"/>
    <w:tmpl w:val="1DE65B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FE511DF"/>
    <w:multiLevelType w:val="multilevel"/>
    <w:tmpl w:val="B5504B1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C8B66D3"/>
    <w:multiLevelType w:val="multilevel"/>
    <w:tmpl w:val="D1623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3EC6BD9"/>
    <w:multiLevelType w:val="multilevel"/>
    <w:tmpl w:val="7A64BAB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08"/>
  <w:hyphenationZone w:val="425"/>
  <w:characterSpacingControl w:val="doNotCompress"/>
  <w:compat/>
  <w:rsids>
    <w:rsidRoot w:val="00FF5CE6"/>
    <w:rsid w:val="000012D8"/>
    <w:rsid w:val="00015C58"/>
    <w:rsid w:val="00016381"/>
    <w:rsid w:val="00033473"/>
    <w:rsid w:val="000464FE"/>
    <w:rsid w:val="00054199"/>
    <w:rsid w:val="0006079E"/>
    <w:rsid w:val="000642FE"/>
    <w:rsid w:val="000668F6"/>
    <w:rsid w:val="00081607"/>
    <w:rsid w:val="0008627D"/>
    <w:rsid w:val="00086B82"/>
    <w:rsid w:val="00091CE6"/>
    <w:rsid w:val="00092504"/>
    <w:rsid w:val="00093F99"/>
    <w:rsid w:val="000971F8"/>
    <w:rsid w:val="000A0F6B"/>
    <w:rsid w:val="000A1FAF"/>
    <w:rsid w:val="000A3853"/>
    <w:rsid w:val="000D33D2"/>
    <w:rsid w:val="000E3CDE"/>
    <w:rsid w:val="000F34BF"/>
    <w:rsid w:val="000F66B6"/>
    <w:rsid w:val="000F670E"/>
    <w:rsid w:val="00102019"/>
    <w:rsid w:val="00104BD9"/>
    <w:rsid w:val="00116FB1"/>
    <w:rsid w:val="001237BB"/>
    <w:rsid w:val="0012428B"/>
    <w:rsid w:val="00127245"/>
    <w:rsid w:val="00132401"/>
    <w:rsid w:val="00137D25"/>
    <w:rsid w:val="0014315C"/>
    <w:rsid w:val="00144074"/>
    <w:rsid w:val="00157078"/>
    <w:rsid w:val="00162151"/>
    <w:rsid w:val="001708DF"/>
    <w:rsid w:val="00176197"/>
    <w:rsid w:val="0018131B"/>
    <w:rsid w:val="00184363"/>
    <w:rsid w:val="00185376"/>
    <w:rsid w:val="00190FDD"/>
    <w:rsid w:val="001A01F7"/>
    <w:rsid w:val="001A7A42"/>
    <w:rsid w:val="001B390E"/>
    <w:rsid w:val="001C3BC4"/>
    <w:rsid w:val="001C7658"/>
    <w:rsid w:val="001D14DC"/>
    <w:rsid w:val="001E055D"/>
    <w:rsid w:val="001E3015"/>
    <w:rsid w:val="001E66D4"/>
    <w:rsid w:val="0020372A"/>
    <w:rsid w:val="0021696D"/>
    <w:rsid w:val="0023717C"/>
    <w:rsid w:val="00240DC7"/>
    <w:rsid w:val="00241A1F"/>
    <w:rsid w:val="0026718D"/>
    <w:rsid w:val="0027055A"/>
    <w:rsid w:val="00271A3B"/>
    <w:rsid w:val="002808CB"/>
    <w:rsid w:val="002A2753"/>
    <w:rsid w:val="002A4412"/>
    <w:rsid w:val="002A700A"/>
    <w:rsid w:val="002B7502"/>
    <w:rsid w:val="002C4D3A"/>
    <w:rsid w:val="002D70F8"/>
    <w:rsid w:val="002E6C61"/>
    <w:rsid w:val="002F1012"/>
    <w:rsid w:val="00301127"/>
    <w:rsid w:val="00322981"/>
    <w:rsid w:val="00324F83"/>
    <w:rsid w:val="0032686B"/>
    <w:rsid w:val="00337FFA"/>
    <w:rsid w:val="00343BB2"/>
    <w:rsid w:val="00351FB9"/>
    <w:rsid w:val="00352328"/>
    <w:rsid w:val="00360C95"/>
    <w:rsid w:val="00366A06"/>
    <w:rsid w:val="0037014D"/>
    <w:rsid w:val="003712FA"/>
    <w:rsid w:val="00372256"/>
    <w:rsid w:val="00376F45"/>
    <w:rsid w:val="003819F8"/>
    <w:rsid w:val="00387E7A"/>
    <w:rsid w:val="003B0C2D"/>
    <w:rsid w:val="003B549B"/>
    <w:rsid w:val="003B6F1F"/>
    <w:rsid w:val="003D0D2E"/>
    <w:rsid w:val="003D16BA"/>
    <w:rsid w:val="003D7014"/>
    <w:rsid w:val="003E2469"/>
    <w:rsid w:val="003E2CE3"/>
    <w:rsid w:val="003F4180"/>
    <w:rsid w:val="00400B5F"/>
    <w:rsid w:val="00412AC7"/>
    <w:rsid w:val="00413B34"/>
    <w:rsid w:val="00417FB3"/>
    <w:rsid w:val="00434C29"/>
    <w:rsid w:val="004375E4"/>
    <w:rsid w:val="004519E2"/>
    <w:rsid w:val="00452A1B"/>
    <w:rsid w:val="004570F6"/>
    <w:rsid w:val="0046173F"/>
    <w:rsid w:val="004652CA"/>
    <w:rsid w:val="004741E1"/>
    <w:rsid w:val="00475566"/>
    <w:rsid w:val="0049733F"/>
    <w:rsid w:val="004A32A7"/>
    <w:rsid w:val="004B4D00"/>
    <w:rsid w:val="004E077B"/>
    <w:rsid w:val="004E5D21"/>
    <w:rsid w:val="004F3A71"/>
    <w:rsid w:val="004F5413"/>
    <w:rsid w:val="004F649D"/>
    <w:rsid w:val="004F7F78"/>
    <w:rsid w:val="00500182"/>
    <w:rsid w:val="00502F04"/>
    <w:rsid w:val="0051089A"/>
    <w:rsid w:val="005244E3"/>
    <w:rsid w:val="00536D1F"/>
    <w:rsid w:val="005404E9"/>
    <w:rsid w:val="00543A8B"/>
    <w:rsid w:val="00545242"/>
    <w:rsid w:val="005528E7"/>
    <w:rsid w:val="005903F8"/>
    <w:rsid w:val="005928B5"/>
    <w:rsid w:val="00593EAB"/>
    <w:rsid w:val="00595709"/>
    <w:rsid w:val="005A40C9"/>
    <w:rsid w:val="005B1126"/>
    <w:rsid w:val="005E1CEF"/>
    <w:rsid w:val="005F3775"/>
    <w:rsid w:val="00600BE2"/>
    <w:rsid w:val="006044E7"/>
    <w:rsid w:val="00605B99"/>
    <w:rsid w:val="006062E6"/>
    <w:rsid w:val="00615C65"/>
    <w:rsid w:val="00630B2C"/>
    <w:rsid w:val="006419F8"/>
    <w:rsid w:val="00642127"/>
    <w:rsid w:val="00655A4A"/>
    <w:rsid w:val="00660BEF"/>
    <w:rsid w:val="0066389A"/>
    <w:rsid w:val="0066525E"/>
    <w:rsid w:val="00666AAD"/>
    <w:rsid w:val="00671B99"/>
    <w:rsid w:val="00685F97"/>
    <w:rsid w:val="006A24B0"/>
    <w:rsid w:val="006A47B8"/>
    <w:rsid w:val="006A614A"/>
    <w:rsid w:val="006A628A"/>
    <w:rsid w:val="006C06D5"/>
    <w:rsid w:val="006D70BD"/>
    <w:rsid w:val="006E0EB1"/>
    <w:rsid w:val="006E1BDB"/>
    <w:rsid w:val="006E4111"/>
    <w:rsid w:val="006F4EF2"/>
    <w:rsid w:val="00705AD7"/>
    <w:rsid w:val="00716377"/>
    <w:rsid w:val="00736746"/>
    <w:rsid w:val="00736942"/>
    <w:rsid w:val="00743FD3"/>
    <w:rsid w:val="0075063A"/>
    <w:rsid w:val="00761E57"/>
    <w:rsid w:val="0078202F"/>
    <w:rsid w:val="0078264E"/>
    <w:rsid w:val="007837A8"/>
    <w:rsid w:val="00793CA3"/>
    <w:rsid w:val="00793DCF"/>
    <w:rsid w:val="007A3162"/>
    <w:rsid w:val="007A7C23"/>
    <w:rsid w:val="007B54DC"/>
    <w:rsid w:val="007B6F25"/>
    <w:rsid w:val="007C7AC7"/>
    <w:rsid w:val="007C7D78"/>
    <w:rsid w:val="007D611D"/>
    <w:rsid w:val="007D7164"/>
    <w:rsid w:val="00813C65"/>
    <w:rsid w:val="008261E3"/>
    <w:rsid w:val="0083338C"/>
    <w:rsid w:val="008512A1"/>
    <w:rsid w:val="00862751"/>
    <w:rsid w:val="0086373D"/>
    <w:rsid w:val="00866EE8"/>
    <w:rsid w:val="00874FBC"/>
    <w:rsid w:val="00875853"/>
    <w:rsid w:val="0088236A"/>
    <w:rsid w:val="00896B8B"/>
    <w:rsid w:val="008A6163"/>
    <w:rsid w:val="008B17ED"/>
    <w:rsid w:val="008D3E3B"/>
    <w:rsid w:val="008D5078"/>
    <w:rsid w:val="008E2419"/>
    <w:rsid w:val="008F0F28"/>
    <w:rsid w:val="008F6497"/>
    <w:rsid w:val="008F719A"/>
    <w:rsid w:val="00900065"/>
    <w:rsid w:val="00916536"/>
    <w:rsid w:val="0092201F"/>
    <w:rsid w:val="009436A1"/>
    <w:rsid w:val="009604FD"/>
    <w:rsid w:val="009613D6"/>
    <w:rsid w:val="009721E4"/>
    <w:rsid w:val="0097310F"/>
    <w:rsid w:val="00973B5E"/>
    <w:rsid w:val="00982A8D"/>
    <w:rsid w:val="00982C21"/>
    <w:rsid w:val="00987FFD"/>
    <w:rsid w:val="009918F1"/>
    <w:rsid w:val="00993DD0"/>
    <w:rsid w:val="009A2A33"/>
    <w:rsid w:val="009B0C5D"/>
    <w:rsid w:val="009C4C77"/>
    <w:rsid w:val="009C4E13"/>
    <w:rsid w:val="009C67E9"/>
    <w:rsid w:val="009D414B"/>
    <w:rsid w:val="009E54E6"/>
    <w:rsid w:val="009F5133"/>
    <w:rsid w:val="009F79B2"/>
    <w:rsid w:val="00A01E6F"/>
    <w:rsid w:val="00A11EDD"/>
    <w:rsid w:val="00A132B6"/>
    <w:rsid w:val="00A25DBB"/>
    <w:rsid w:val="00A2749F"/>
    <w:rsid w:val="00A321B4"/>
    <w:rsid w:val="00A626E9"/>
    <w:rsid w:val="00A65EDA"/>
    <w:rsid w:val="00A72EDA"/>
    <w:rsid w:val="00A8128D"/>
    <w:rsid w:val="00A821E0"/>
    <w:rsid w:val="00A940F7"/>
    <w:rsid w:val="00AB605E"/>
    <w:rsid w:val="00AC2BC9"/>
    <w:rsid w:val="00AC357C"/>
    <w:rsid w:val="00AD570A"/>
    <w:rsid w:val="00AD7C17"/>
    <w:rsid w:val="00AE4447"/>
    <w:rsid w:val="00AF156A"/>
    <w:rsid w:val="00AF694B"/>
    <w:rsid w:val="00B07B5F"/>
    <w:rsid w:val="00B17E9B"/>
    <w:rsid w:val="00B268F0"/>
    <w:rsid w:val="00B271EF"/>
    <w:rsid w:val="00B30BD8"/>
    <w:rsid w:val="00B34EA9"/>
    <w:rsid w:val="00B37E8B"/>
    <w:rsid w:val="00B4635F"/>
    <w:rsid w:val="00B473E2"/>
    <w:rsid w:val="00B521C7"/>
    <w:rsid w:val="00B82AA0"/>
    <w:rsid w:val="00BA0867"/>
    <w:rsid w:val="00BA7454"/>
    <w:rsid w:val="00BB1255"/>
    <w:rsid w:val="00BB3EF4"/>
    <w:rsid w:val="00BC1B21"/>
    <w:rsid w:val="00BD54CB"/>
    <w:rsid w:val="00BE06BB"/>
    <w:rsid w:val="00BE2A13"/>
    <w:rsid w:val="00BF1163"/>
    <w:rsid w:val="00C05B09"/>
    <w:rsid w:val="00C102EC"/>
    <w:rsid w:val="00C216EB"/>
    <w:rsid w:val="00C230E0"/>
    <w:rsid w:val="00C24552"/>
    <w:rsid w:val="00C32DF2"/>
    <w:rsid w:val="00C40F49"/>
    <w:rsid w:val="00C51508"/>
    <w:rsid w:val="00C52095"/>
    <w:rsid w:val="00C679A2"/>
    <w:rsid w:val="00C84B31"/>
    <w:rsid w:val="00C86CF9"/>
    <w:rsid w:val="00C87926"/>
    <w:rsid w:val="00C91B38"/>
    <w:rsid w:val="00CA5C69"/>
    <w:rsid w:val="00CC3E83"/>
    <w:rsid w:val="00CC4390"/>
    <w:rsid w:val="00CC6D69"/>
    <w:rsid w:val="00CC720F"/>
    <w:rsid w:val="00CD52DB"/>
    <w:rsid w:val="00CD645E"/>
    <w:rsid w:val="00CF5800"/>
    <w:rsid w:val="00D10297"/>
    <w:rsid w:val="00D20F65"/>
    <w:rsid w:val="00D23F46"/>
    <w:rsid w:val="00D40C76"/>
    <w:rsid w:val="00D5238D"/>
    <w:rsid w:val="00D57D3B"/>
    <w:rsid w:val="00D70E02"/>
    <w:rsid w:val="00D716F1"/>
    <w:rsid w:val="00D76B72"/>
    <w:rsid w:val="00D903E1"/>
    <w:rsid w:val="00DA724F"/>
    <w:rsid w:val="00DB16DA"/>
    <w:rsid w:val="00DB54D9"/>
    <w:rsid w:val="00DE3BD7"/>
    <w:rsid w:val="00DE3F58"/>
    <w:rsid w:val="00DE7FE8"/>
    <w:rsid w:val="00DF123C"/>
    <w:rsid w:val="00E0054D"/>
    <w:rsid w:val="00E0313C"/>
    <w:rsid w:val="00E0780B"/>
    <w:rsid w:val="00E1739F"/>
    <w:rsid w:val="00E23663"/>
    <w:rsid w:val="00E416BB"/>
    <w:rsid w:val="00E44562"/>
    <w:rsid w:val="00E4773D"/>
    <w:rsid w:val="00E51041"/>
    <w:rsid w:val="00E52772"/>
    <w:rsid w:val="00E554E5"/>
    <w:rsid w:val="00E729DA"/>
    <w:rsid w:val="00E8562D"/>
    <w:rsid w:val="00E8650D"/>
    <w:rsid w:val="00E95BB6"/>
    <w:rsid w:val="00E96401"/>
    <w:rsid w:val="00EA267D"/>
    <w:rsid w:val="00EA28D6"/>
    <w:rsid w:val="00EB5AFD"/>
    <w:rsid w:val="00ED56D4"/>
    <w:rsid w:val="00ED78E0"/>
    <w:rsid w:val="00EE4A17"/>
    <w:rsid w:val="00EF2EDA"/>
    <w:rsid w:val="00F041C6"/>
    <w:rsid w:val="00F07DE0"/>
    <w:rsid w:val="00F13406"/>
    <w:rsid w:val="00F140BE"/>
    <w:rsid w:val="00F2060E"/>
    <w:rsid w:val="00F55144"/>
    <w:rsid w:val="00F9212D"/>
    <w:rsid w:val="00FA160E"/>
    <w:rsid w:val="00FB303F"/>
    <w:rsid w:val="00FB7B04"/>
    <w:rsid w:val="00FC406E"/>
    <w:rsid w:val="00FD4716"/>
    <w:rsid w:val="00FD4A97"/>
    <w:rsid w:val="00FD63E8"/>
    <w:rsid w:val="00FD7B2B"/>
    <w:rsid w:val="00FF5CE6"/>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8B17ED"/>
  </w:style>
  <w:style w:type="paragraph" w:styleId="Nadpis1">
    <w:name w:val="heading 1"/>
    <w:basedOn w:val="Normlny"/>
    <w:link w:val="Nadpis1Char"/>
    <w:uiPriority w:val="9"/>
    <w:qFormat/>
    <w:rsid w:val="00FF5CE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sk-SK"/>
    </w:rPr>
  </w:style>
  <w:style w:type="paragraph" w:styleId="Nadpis2">
    <w:name w:val="heading 2"/>
    <w:basedOn w:val="Normlny"/>
    <w:link w:val="Nadpis2Char"/>
    <w:uiPriority w:val="9"/>
    <w:qFormat/>
    <w:rsid w:val="00FF5CE6"/>
    <w:pPr>
      <w:spacing w:before="100" w:beforeAutospacing="1" w:after="100" w:afterAutospacing="1" w:line="240" w:lineRule="auto"/>
      <w:outlineLvl w:val="1"/>
    </w:pPr>
    <w:rPr>
      <w:rFonts w:ascii="Times New Roman" w:eastAsia="Times New Roman" w:hAnsi="Times New Roman" w:cs="Times New Roman"/>
      <w:b/>
      <w:bCs/>
      <w:sz w:val="36"/>
      <w:szCs w:val="36"/>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FF5CE6"/>
    <w:rPr>
      <w:rFonts w:ascii="Times New Roman" w:eastAsia="Times New Roman" w:hAnsi="Times New Roman" w:cs="Times New Roman"/>
      <w:b/>
      <w:bCs/>
      <w:kern w:val="36"/>
      <w:sz w:val="48"/>
      <w:szCs w:val="48"/>
      <w:lang w:eastAsia="sk-SK"/>
    </w:rPr>
  </w:style>
  <w:style w:type="character" w:customStyle="1" w:styleId="Nadpis2Char">
    <w:name w:val="Nadpis 2 Char"/>
    <w:basedOn w:val="Predvolenpsmoodseku"/>
    <w:link w:val="Nadpis2"/>
    <w:uiPriority w:val="9"/>
    <w:rsid w:val="00FF5CE6"/>
    <w:rPr>
      <w:rFonts w:ascii="Times New Roman" w:eastAsia="Times New Roman" w:hAnsi="Times New Roman" w:cs="Times New Roman"/>
      <w:b/>
      <w:bCs/>
      <w:sz w:val="36"/>
      <w:szCs w:val="36"/>
      <w:lang w:eastAsia="sk-SK"/>
    </w:rPr>
  </w:style>
  <w:style w:type="character" w:customStyle="1" w:styleId="blog-post-title-font">
    <w:name w:val="blog-post-title-font"/>
    <w:basedOn w:val="Predvolenpsmoodseku"/>
    <w:rsid w:val="00FF5CE6"/>
  </w:style>
  <w:style w:type="character" w:customStyle="1" w:styleId="b2eff">
    <w:name w:val="b2eff"/>
    <w:basedOn w:val="Predvolenpsmoodseku"/>
    <w:rsid w:val="00FF5CE6"/>
  </w:style>
  <w:style w:type="paragraph" w:customStyle="1" w:styleId="xvisr">
    <w:name w:val="xvisr"/>
    <w:basedOn w:val="Normlny"/>
    <w:rsid w:val="00FF5CE6"/>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Hypertextovprepojenie">
    <w:name w:val="Hyperlink"/>
    <w:basedOn w:val="Predvolenpsmoodseku"/>
    <w:uiPriority w:val="99"/>
    <w:semiHidden/>
    <w:unhideWhenUsed/>
    <w:rsid w:val="00FF5CE6"/>
    <w:rPr>
      <w:color w:val="0000FF"/>
      <w:u w:val="single"/>
    </w:rPr>
  </w:style>
  <w:style w:type="paragraph" w:styleId="Textbubliny">
    <w:name w:val="Balloon Text"/>
    <w:basedOn w:val="Normlny"/>
    <w:link w:val="TextbublinyChar"/>
    <w:uiPriority w:val="99"/>
    <w:semiHidden/>
    <w:unhideWhenUsed/>
    <w:rsid w:val="00FF5CE6"/>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FF5CE6"/>
    <w:rPr>
      <w:rFonts w:ascii="Tahoma" w:hAnsi="Tahoma" w:cs="Tahoma"/>
      <w:sz w:val="16"/>
      <w:szCs w:val="16"/>
    </w:rPr>
  </w:style>
  <w:style w:type="character" w:customStyle="1" w:styleId="date">
    <w:name w:val="date"/>
    <w:basedOn w:val="Predvolenpsmoodseku"/>
    <w:rsid w:val="00FF5CE6"/>
  </w:style>
  <w:style w:type="character" w:customStyle="1" w:styleId="categories-links">
    <w:name w:val="categories-links"/>
    <w:basedOn w:val="Predvolenpsmoodseku"/>
    <w:rsid w:val="00FF5CE6"/>
  </w:style>
  <w:style w:type="paragraph" w:styleId="Normlnywebov">
    <w:name w:val="Normal (Web)"/>
    <w:basedOn w:val="Normlny"/>
    <w:uiPriority w:val="99"/>
    <w:semiHidden/>
    <w:unhideWhenUsed/>
    <w:rsid w:val="00FF5CE6"/>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customStyle="1" w:styleId="meta-nav">
    <w:name w:val="meta-nav"/>
    <w:basedOn w:val="Predvolenpsmoodseku"/>
    <w:rsid w:val="00FF5CE6"/>
  </w:style>
  <w:style w:type="character" w:styleId="Zvraznenie">
    <w:name w:val="Emphasis"/>
    <w:basedOn w:val="Predvolenpsmoodseku"/>
    <w:uiPriority w:val="20"/>
    <w:qFormat/>
    <w:rsid w:val="00FF5CE6"/>
    <w:rPr>
      <w:i/>
      <w:iCs/>
    </w:rPr>
  </w:style>
  <w:style w:type="character" w:customStyle="1" w:styleId="leave-reply">
    <w:name w:val="leave-reply"/>
    <w:basedOn w:val="Predvolenpsmoodseku"/>
    <w:rsid w:val="00FF5CE6"/>
  </w:style>
  <w:style w:type="character" w:customStyle="1" w:styleId="tags-links">
    <w:name w:val="tags-links"/>
    <w:basedOn w:val="Predvolenpsmoodseku"/>
    <w:rsid w:val="00FF5CE6"/>
  </w:style>
  <w:style w:type="character" w:styleId="Siln">
    <w:name w:val="Strong"/>
    <w:basedOn w:val="Predvolenpsmoodseku"/>
    <w:uiPriority w:val="22"/>
    <w:qFormat/>
    <w:rsid w:val="00FF5CE6"/>
    <w:rPr>
      <w:b/>
      <w:bCs/>
    </w:rPr>
  </w:style>
</w:styles>
</file>

<file path=word/webSettings.xml><?xml version="1.0" encoding="utf-8"?>
<w:webSettings xmlns:r="http://schemas.openxmlformats.org/officeDocument/2006/relationships" xmlns:w="http://schemas.openxmlformats.org/wordprocessingml/2006/main">
  <w:divs>
    <w:div w:id="314334747">
      <w:bodyDiv w:val="1"/>
      <w:marLeft w:val="0"/>
      <w:marRight w:val="0"/>
      <w:marTop w:val="0"/>
      <w:marBottom w:val="0"/>
      <w:divBdr>
        <w:top w:val="none" w:sz="0" w:space="0" w:color="auto"/>
        <w:left w:val="none" w:sz="0" w:space="0" w:color="auto"/>
        <w:bottom w:val="none" w:sz="0" w:space="0" w:color="auto"/>
        <w:right w:val="none" w:sz="0" w:space="0" w:color="auto"/>
      </w:divBdr>
      <w:divsChild>
        <w:div w:id="720255211">
          <w:marLeft w:val="0"/>
          <w:marRight w:val="0"/>
          <w:marTop w:val="0"/>
          <w:marBottom w:val="0"/>
          <w:divBdr>
            <w:top w:val="none" w:sz="0" w:space="0" w:color="auto"/>
            <w:left w:val="none" w:sz="0" w:space="0" w:color="auto"/>
            <w:bottom w:val="none" w:sz="0" w:space="0" w:color="auto"/>
            <w:right w:val="none" w:sz="0" w:space="0" w:color="auto"/>
          </w:divBdr>
          <w:divsChild>
            <w:div w:id="1891846694">
              <w:marLeft w:val="0"/>
              <w:marRight w:val="0"/>
              <w:marTop w:val="0"/>
              <w:marBottom w:val="0"/>
              <w:divBdr>
                <w:top w:val="none" w:sz="0" w:space="0" w:color="auto"/>
                <w:left w:val="none" w:sz="0" w:space="0" w:color="auto"/>
                <w:bottom w:val="none" w:sz="0" w:space="0" w:color="auto"/>
                <w:right w:val="none" w:sz="0" w:space="0" w:color="auto"/>
              </w:divBdr>
            </w:div>
          </w:divsChild>
        </w:div>
        <w:div w:id="253786898">
          <w:marLeft w:val="0"/>
          <w:marRight w:val="0"/>
          <w:marTop w:val="375"/>
          <w:marBottom w:val="0"/>
          <w:divBdr>
            <w:top w:val="none" w:sz="0" w:space="0" w:color="auto"/>
            <w:left w:val="none" w:sz="0" w:space="0" w:color="auto"/>
            <w:bottom w:val="none" w:sz="0" w:space="0" w:color="auto"/>
            <w:right w:val="none" w:sz="0" w:space="0" w:color="auto"/>
          </w:divBdr>
          <w:divsChild>
            <w:div w:id="234242053">
              <w:marLeft w:val="0"/>
              <w:marRight w:val="0"/>
              <w:marTop w:val="0"/>
              <w:marBottom w:val="0"/>
              <w:divBdr>
                <w:top w:val="none" w:sz="0" w:space="0" w:color="auto"/>
                <w:left w:val="none" w:sz="0" w:space="0" w:color="auto"/>
                <w:bottom w:val="none" w:sz="0" w:space="0" w:color="auto"/>
                <w:right w:val="none" w:sz="0" w:space="0" w:color="auto"/>
              </w:divBdr>
              <w:divsChild>
                <w:div w:id="68386378">
                  <w:marLeft w:val="0"/>
                  <w:marRight w:val="0"/>
                  <w:marTop w:val="0"/>
                  <w:marBottom w:val="0"/>
                  <w:divBdr>
                    <w:top w:val="none" w:sz="0" w:space="0" w:color="auto"/>
                    <w:left w:val="none" w:sz="0" w:space="0" w:color="auto"/>
                    <w:bottom w:val="none" w:sz="0" w:space="0" w:color="auto"/>
                    <w:right w:val="none" w:sz="0" w:space="0" w:color="auto"/>
                  </w:divBdr>
                  <w:divsChild>
                    <w:div w:id="1298956020">
                      <w:marLeft w:val="0"/>
                      <w:marRight w:val="0"/>
                      <w:marTop w:val="0"/>
                      <w:marBottom w:val="0"/>
                      <w:divBdr>
                        <w:top w:val="none" w:sz="0" w:space="0" w:color="auto"/>
                        <w:left w:val="none" w:sz="0" w:space="0" w:color="auto"/>
                        <w:bottom w:val="none" w:sz="0" w:space="0" w:color="auto"/>
                        <w:right w:val="none" w:sz="0" w:space="0" w:color="auto"/>
                      </w:divBdr>
                      <w:divsChild>
                        <w:div w:id="447236850">
                          <w:marLeft w:val="0"/>
                          <w:marRight w:val="0"/>
                          <w:marTop w:val="0"/>
                          <w:marBottom w:val="0"/>
                          <w:divBdr>
                            <w:top w:val="none" w:sz="0" w:space="0" w:color="auto"/>
                            <w:left w:val="none" w:sz="0" w:space="0" w:color="auto"/>
                            <w:bottom w:val="none" w:sz="0" w:space="0" w:color="auto"/>
                            <w:right w:val="none" w:sz="0" w:space="0" w:color="auto"/>
                          </w:divBdr>
                          <w:divsChild>
                            <w:div w:id="2092581543">
                              <w:marLeft w:val="0"/>
                              <w:marRight w:val="0"/>
                              <w:marTop w:val="0"/>
                              <w:marBottom w:val="0"/>
                              <w:divBdr>
                                <w:top w:val="none" w:sz="0" w:space="0" w:color="auto"/>
                                <w:left w:val="none" w:sz="0" w:space="0" w:color="auto"/>
                                <w:bottom w:val="none" w:sz="0" w:space="0" w:color="auto"/>
                                <w:right w:val="none" w:sz="0" w:space="0" w:color="auto"/>
                              </w:divBdr>
                              <w:divsChild>
                                <w:div w:id="141125546">
                                  <w:marLeft w:val="0"/>
                                  <w:marRight w:val="0"/>
                                  <w:marTop w:val="0"/>
                                  <w:marBottom w:val="0"/>
                                  <w:divBdr>
                                    <w:top w:val="none" w:sz="0" w:space="0" w:color="auto"/>
                                    <w:left w:val="none" w:sz="0" w:space="0" w:color="auto"/>
                                    <w:bottom w:val="none" w:sz="0" w:space="0" w:color="auto"/>
                                    <w:right w:val="none" w:sz="0" w:space="0" w:color="auto"/>
                                  </w:divBdr>
                                  <w:divsChild>
                                    <w:div w:id="560678769">
                                      <w:marLeft w:val="0"/>
                                      <w:marRight w:val="0"/>
                                      <w:marTop w:val="0"/>
                                      <w:marBottom w:val="0"/>
                                      <w:divBdr>
                                        <w:top w:val="none" w:sz="0" w:space="0" w:color="auto"/>
                                        <w:left w:val="none" w:sz="0" w:space="0" w:color="auto"/>
                                        <w:bottom w:val="none" w:sz="0" w:space="0" w:color="auto"/>
                                        <w:right w:val="none" w:sz="0" w:space="0" w:color="auto"/>
                                      </w:divBdr>
                                    </w:div>
                                    <w:div w:id="453910530">
                                      <w:marLeft w:val="0"/>
                                      <w:marRight w:val="0"/>
                                      <w:marTop w:val="225"/>
                                      <w:marBottom w:val="225"/>
                                      <w:divBdr>
                                        <w:top w:val="none" w:sz="0" w:space="0" w:color="auto"/>
                                        <w:left w:val="none" w:sz="0" w:space="0" w:color="auto"/>
                                        <w:bottom w:val="none" w:sz="0" w:space="0" w:color="auto"/>
                                        <w:right w:val="none" w:sz="0" w:space="0" w:color="auto"/>
                                      </w:divBdr>
                                      <w:divsChild>
                                        <w:div w:id="1942570974">
                                          <w:marLeft w:val="0"/>
                                          <w:marRight w:val="0"/>
                                          <w:marTop w:val="0"/>
                                          <w:marBottom w:val="0"/>
                                          <w:divBdr>
                                            <w:top w:val="none" w:sz="0" w:space="0" w:color="auto"/>
                                            <w:left w:val="none" w:sz="0" w:space="0" w:color="auto"/>
                                            <w:bottom w:val="none" w:sz="0" w:space="0" w:color="auto"/>
                                            <w:right w:val="none" w:sz="0" w:space="0" w:color="auto"/>
                                          </w:divBdr>
                                          <w:divsChild>
                                            <w:div w:id="681202620">
                                              <w:marLeft w:val="0"/>
                                              <w:marRight w:val="0"/>
                                              <w:marTop w:val="0"/>
                                              <w:marBottom w:val="0"/>
                                              <w:divBdr>
                                                <w:top w:val="none" w:sz="0" w:space="0" w:color="auto"/>
                                                <w:left w:val="none" w:sz="0" w:space="0" w:color="auto"/>
                                                <w:bottom w:val="none" w:sz="0" w:space="0" w:color="auto"/>
                                                <w:right w:val="none" w:sz="0" w:space="0" w:color="auto"/>
                                              </w:divBdr>
                                              <w:divsChild>
                                                <w:div w:id="1298413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25879">
                                      <w:marLeft w:val="0"/>
                                      <w:marRight w:val="0"/>
                                      <w:marTop w:val="0"/>
                                      <w:marBottom w:val="0"/>
                                      <w:divBdr>
                                        <w:top w:val="none" w:sz="0" w:space="0" w:color="auto"/>
                                        <w:left w:val="none" w:sz="0" w:space="0" w:color="auto"/>
                                        <w:bottom w:val="none" w:sz="0" w:space="0" w:color="auto"/>
                                        <w:right w:val="none" w:sz="0" w:space="0" w:color="auto"/>
                                      </w:divBdr>
                                    </w:div>
                                    <w:div w:id="1046221721">
                                      <w:marLeft w:val="0"/>
                                      <w:marRight w:val="0"/>
                                      <w:marTop w:val="0"/>
                                      <w:marBottom w:val="0"/>
                                      <w:divBdr>
                                        <w:top w:val="none" w:sz="0" w:space="0" w:color="auto"/>
                                        <w:left w:val="none" w:sz="0" w:space="0" w:color="auto"/>
                                        <w:bottom w:val="none" w:sz="0" w:space="0" w:color="auto"/>
                                        <w:right w:val="none" w:sz="0" w:space="0" w:color="auto"/>
                                      </w:divBdr>
                                    </w:div>
                                    <w:div w:id="1876842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0702222">
      <w:bodyDiv w:val="1"/>
      <w:marLeft w:val="0"/>
      <w:marRight w:val="0"/>
      <w:marTop w:val="0"/>
      <w:marBottom w:val="0"/>
      <w:divBdr>
        <w:top w:val="none" w:sz="0" w:space="0" w:color="auto"/>
        <w:left w:val="none" w:sz="0" w:space="0" w:color="auto"/>
        <w:bottom w:val="none" w:sz="0" w:space="0" w:color="auto"/>
        <w:right w:val="none" w:sz="0" w:space="0" w:color="auto"/>
      </w:divBdr>
      <w:divsChild>
        <w:div w:id="504248453">
          <w:marLeft w:val="0"/>
          <w:marRight w:val="0"/>
          <w:marTop w:val="0"/>
          <w:marBottom w:val="0"/>
          <w:divBdr>
            <w:top w:val="none" w:sz="0" w:space="0" w:color="auto"/>
            <w:left w:val="none" w:sz="0" w:space="0" w:color="auto"/>
            <w:bottom w:val="none" w:sz="0" w:space="0" w:color="auto"/>
            <w:right w:val="none" w:sz="0" w:space="0" w:color="auto"/>
          </w:divBdr>
        </w:div>
        <w:div w:id="1726949311">
          <w:marLeft w:val="0"/>
          <w:marRight w:val="0"/>
          <w:marTop w:val="0"/>
          <w:marBottom w:val="0"/>
          <w:divBdr>
            <w:top w:val="none" w:sz="0" w:space="0" w:color="auto"/>
            <w:left w:val="none" w:sz="0" w:space="0" w:color="auto"/>
            <w:bottom w:val="none" w:sz="0" w:space="0" w:color="auto"/>
            <w:right w:val="none" w:sz="0" w:space="0" w:color="auto"/>
          </w:divBdr>
        </w:div>
        <w:div w:id="1544633182">
          <w:marLeft w:val="0"/>
          <w:marRight w:val="0"/>
          <w:marTop w:val="0"/>
          <w:marBottom w:val="0"/>
          <w:divBdr>
            <w:top w:val="none" w:sz="0" w:space="0" w:color="auto"/>
            <w:left w:val="none" w:sz="0" w:space="0" w:color="auto"/>
            <w:bottom w:val="none" w:sz="0" w:space="0" w:color="auto"/>
            <w:right w:val="none" w:sz="0" w:space="0" w:color="auto"/>
          </w:divBdr>
        </w:div>
      </w:divsChild>
    </w:div>
    <w:div w:id="730466389">
      <w:bodyDiv w:val="1"/>
      <w:marLeft w:val="0"/>
      <w:marRight w:val="0"/>
      <w:marTop w:val="0"/>
      <w:marBottom w:val="0"/>
      <w:divBdr>
        <w:top w:val="none" w:sz="0" w:space="0" w:color="auto"/>
        <w:left w:val="none" w:sz="0" w:space="0" w:color="auto"/>
        <w:bottom w:val="none" w:sz="0" w:space="0" w:color="auto"/>
        <w:right w:val="none" w:sz="0" w:space="0" w:color="auto"/>
      </w:divBdr>
      <w:divsChild>
        <w:div w:id="842744268">
          <w:marLeft w:val="0"/>
          <w:marRight w:val="0"/>
          <w:marTop w:val="0"/>
          <w:marBottom w:val="0"/>
          <w:divBdr>
            <w:top w:val="none" w:sz="0" w:space="0" w:color="auto"/>
            <w:left w:val="none" w:sz="0" w:space="0" w:color="auto"/>
            <w:bottom w:val="none" w:sz="0" w:space="0" w:color="auto"/>
            <w:right w:val="none" w:sz="0" w:space="0" w:color="auto"/>
          </w:divBdr>
        </w:div>
        <w:div w:id="1508445544">
          <w:marLeft w:val="0"/>
          <w:marRight w:val="0"/>
          <w:marTop w:val="0"/>
          <w:marBottom w:val="0"/>
          <w:divBdr>
            <w:top w:val="none" w:sz="0" w:space="0" w:color="auto"/>
            <w:left w:val="none" w:sz="0" w:space="0" w:color="auto"/>
            <w:bottom w:val="none" w:sz="0" w:space="0" w:color="auto"/>
            <w:right w:val="none" w:sz="0" w:space="0" w:color="auto"/>
          </w:divBdr>
        </w:div>
        <w:div w:id="1368985793">
          <w:marLeft w:val="0"/>
          <w:marRight w:val="0"/>
          <w:marTop w:val="0"/>
          <w:marBottom w:val="0"/>
          <w:divBdr>
            <w:top w:val="none" w:sz="0" w:space="0" w:color="auto"/>
            <w:left w:val="none" w:sz="0" w:space="0" w:color="auto"/>
            <w:bottom w:val="none" w:sz="0" w:space="0" w:color="auto"/>
            <w:right w:val="none" w:sz="0" w:space="0" w:color="auto"/>
          </w:divBdr>
        </w:div>
        <w:div w:id="1119757308">
          <w:marLeft w:val="0"/>
          <w:marRight w:val="0"/>
          <w:marTop w:val="0"/>
          <w:marBottom w:val="0"/>
          <w:divBdr>
            <w:top w:val="none" w:sz="0" w:space="0" w:color="auto"/>
            <w:left w:val="none" w:sz="0" w:space="0" w:color="auto"/>
            <w:bottom w:val="none" w:sz="0" w:space="0" w:color="auto"/>
            <w:right w:val="none" w:sz="0" w:space="0" w:color="auto"/>
          </w:divBdr>
        </w:div>
        <w:div w:id="285477676">
          <w:marLeft w:val="0"/>
          <w:marRight w:val="0"/>
          <w:marTop w:val="0"/>
          <w:marBottom w:val="0"/>
          <w:divBdr>
            <w:top w:val="none" w:sz="0" w:space="0" w:color="auto"/>
            <w:left w:val="none" w:sz="0" w:space="0" w:color="auto"/>
            <w:bottom w:val="none" w:sz="0" w:space="0" w:color="auto"/>
            <w:right w:val="none" w:sz="0" w:space="0" w:color="auto"/>
          </w:divBdr>
        </w:div>
      </w:divsChild>
    </w:div>
    <w:div w:id="810246404">
      <w:bodyDiv w:val="1"/>
      <w:marLeft w:val="0"/>
      <w:marRight w:val="0"/>
      <w:marTop w:val="0"/>
      <w:marBottom w:val="0"/>
      <w:divBdr>
        <w:top w:val="none" w:sz="0" w:space="0" w:color="auto"/>
        <w:left w:val="none" w:sz="0" w:space="0" w:color="auto"/>
        <w:bottom w:val="none" w:sz="0" w:space="0" w:color="auto"/>
        <w:right w:val="none" w:sz="0" w:space="0" w:color="auto"/>
      </w:divBdr>
      <w:divsChild>
        <w:div w:id="1791902007">
          <w:marLeft w:val="0"/>
          <w:marRight w:val="0"/>
          <w:marTop w:val="0"/>
          <w:marBottom w:val="0"/>
          <w:divBdr>
            <w:top w:val="none" w:sz="0" w:space="0" w:color="auto"/>
            <w:left w:val="none" w:sz="0" w:space="0" w:color="auto"/>
            <w:bottom w:val="none" w:sz="0" w:space="0" w:color="auto"/>
            <w:right w:val="none" w:sz="0" w:space="0" w:color="auto"/>
          </w:divBdr>
        </w:div>
        <w:div w:id="50078900">
          <w:marLeft w:val="0"/>
          <w:marRight w:val="0"/>
          <w:marTop w:val="0"/>
          <w:marBottom w:val="0"/>
          <w:divBdr>
            <w:top w:val="none" w:sz="0" w:space="0" w:color="auto"/>
            <w:left w:val="none" w:sz="0" w:space="0" w:color="auto"/>
            <w:bottom w:val="none" w:sz="0" w:space="0" w:color="auto"/>
            <w:right w:val="none" w:sz="0" w:space="0" w:color="auto"/>
          </w:divBdr>
        </w:div>
        <w:div w:id="303782996">
          <w:marLeft w:val="0"/>
          <w:marRight w:val="0"/>
          <w:marTop w:val="0"/>
          <w:marBottom w:val="0"/>
          <w:divBdr>
            <w:top w:val="none" w:sz="0" w:space="0" w:color="auto"/>
            <w:left w:val="none" w:sz="0" w:space="0" w:color="auto"/>
            <w:bottom w:val="none" w:sz="0" w:space="0" w:color="auto"/>
            <w:right w:val="none" w:sz="0" w:space="0" w:color="auto"/>
          </w:divBdr>
        </w:div>
      </w:divsChild>
    </w:div>
    <w:div w:id="858809365">
      <w:bodyDiv w:val="1"/>
      <w:marLeft w:val="0"/>
      <w:marRight w:val="0"/>
      <w:marTop w:val="0"/>
      <w:marBottom w:val="0"/>
      <w:divBdr>
        <w:top w:val="none" w:sz="0" w:space="0" w:color="auto"/>
        <w:left w:val="none" w:sz="0" w:space="0" w:color="auto"/>
        <w:bottom w:val="none" w:sz="0" w:space="0" w:color="auto"/>
        <w:right w:val="none" w:sz="0" w:space="0" w:color="auto"/>
      </w:divBdr>
      <w:divsChild>
        <w:div w:id="714238625">
          <w:marLeft w:val="0"/>
          <w:marRight w:val="0"/>
          <w:marTop w:val="0"/>
          <w:marBottom w:val="0"/>
          <w:divBdr>
            <w:top w:val="none" w:sz="0" w:space="0" w:color="auto"/>
            <w:left w:val="none" w:sz="0" w:space="0" w:color="auto"/>
            <w:bottom w:val="none" w:sz="0" w:space="0" w:color="auto"/>
            <w:right w:val="none" w:sz="0" w:space="0" w:color="auto"/>
          </w:divBdr>
        </w:div>
        <w:div w:id="1305625656">
          <w:marLeft w:val="0"/>
          <w:marRight w:val="0"/>
          <w:marTop w:val="0"/>
          <w:marBottom w:val="0"/>
          <w:divBdr>
            <w:top w:val="none" w:sz="0" w:space="0" w:color="auto"/>
            <w:left w:val="none" w:sz="0" w:space="0" w:color="auto"/>
            <w:bottom w:val="none" w:sz="0" w:space="0" w:color="auto"/>
            <w:right w:val="none" w:sz="0" w:space="0" w:color="auto"/>
          </w:divBdr>
        </w:div>
        <w:div w:id="637226691">
          <w:marLeft w:val="0"/>
          <w:marRight w:val="0"/>
          <w:marTop w:val="0"/>
          <w:marBottom w:val="0"/>
          <w:divBdr>
            <w:top w:val="none" w:sz="0" w:space="0" w:color="auto"/>
            <w:left w:val="none" w:sz="0" w:space="0" w:color="auto"/>
            <w:bottom w:val="none" w:sz="0" w:space="0" w:color="auto"/>
            <w:right w:val="none" w:sz="0" w:space="0" w:color="auto"/>
          </w:divBdr>
        </w:div>
      </w:divsChild>
    </w:div>
    <w:div w:id="1222014046">
      <w:bodyDiv w:val="1"/>
      <w:marLeft w:val="0"/>
      <w:marRight w:val="0"/>
      <w:marTop w:val="0"/>
      <w:marBottom w:val="0"/>
      <w:divBdr>
        <w:top w:val="none" w:sz="0" w:space="0" w:color="auto"/>
        <w:left w:val="none" w:sz="0" w:space="0" w:color="auto"/>
        <w:bottom w:val="none" w:sz="0" w:space="0" w:color="auto"/>
        <w:right w:val="none" w:sz="0" w:space="0" w:color="auto"/>
      </w:divBdr>
      <w:divsChild>
        <w:div w:id="1232354416">
          <w:marLeft w:val="0"/>
          <w:marRight w:val="0"/>
          <w:marTop w:val="0"/>
          <w:marBottom w:val="0"/>
          <w:divBdr>
            <w:top w:val="none" w:sz="0" w:space="0" w:color="auto"/>
            <w:left w:val="none" w:sz="0" w:space="0" w:color="auto"/>
            <w:bottom w:val="none" w:sz="0" w:space="0" w:color="auto"/>
            <w:right w:val="none" w:sz="0" w:space="0" w:color="auto"/>
          </w:divBdr>
        </w:div>
        <w:div w:id="894438099">
          <w:marLeft w:val="0"/>
          <w:marRight w:val="0"/>
          <w:marTop w:val="0"/>
          <w:marBottom w:val="0"/>
          <w:divBdr>
            <w:top w:val="none" w:sz="0" w:space="0" w:color="auto"/>
            <w:left w:val="none" w:sz="0" w:space="0" w:color="auto"/>
            <w:bottom w:val="none" w:sz="0" w:space="0" w:color="auto"/>
            <w:right w:val="none" w:sz="0" w:space="0" w:color="auto"/>
          </w:divBdr>
        </w:div>
        <w:div w:id="1059744533">
          <w:marLeft w:val="0"/>
          <w:marRight w:val="0"/>
          <w:marTop w:val="0"/>
          <w:marBottom w:val="0"/>
          <w:divBdr>
            <w:top w:val="none" w:sz="0" w:space="0" w:color="auto"/>
            <w:left w:val="none" w:sz="0" w:space="0" w:color="auto"/>
            <w:bottom w:val="none" w:sz="0" w:space="0" w:color="auto"/>
            <w:right w:val="none" w:sz="0" w:space="0" w:color="auto"/>
          </w:divBdr>
        </w:div>
        <w:div w:id="428623135">
          <w:marLeft w:val="0"/>
          <w:marRight w:val="0"/>
          <w:marTop w:val="0"/>
          <w:marBottom w:val="0"/>
          <w:divBdr>
            <w:top w:val="none" w:sz="0" w:space="0" w:color="auto"/>
            <w:left w:val="none" w:sz="0" w:space="0" w:color="auto"/>
            <w:bottom w:val="none" w:sz="0" w:space="0" w:color="auto"/>
            <w:right w:val="none" w:sz="0" w:space="0" w:color="auto"/>
          </w:divBdr>
        </w:div>
        <w:div w:id="1120420104">
          <w:marLeft w:val="0"/>
          <w:marRight w:val="0"/>
          <w:marTop w:val="0"/>
          <w:marBottom w:val="0"/>
          <w:divBdr>
            <w:top w:val="none" w:sz="0" w:space="0" w:color="auto"/>
            <w:left w:val="none" w:sz="0" w:space="0" w:color="auto"/>
            <w:bottom w:val="none" w:sz="0" w:space="0" w:color="auto"/>
            <w:right w:val="none" w:sz="0" w:space="0" w:color="auto"/>
          </w:divBdr>
        </w:div>
        <w:div w:id="1878858853">
          <w:marLeft w:val="0"/>
          <w:marRight w:val="0"/>
          <w:marTop w:val="0"/>
          <w:marBottom w:val="0"/>
          <w:divBdr>
            <w:top w:val="none" w:sz="0" w:space="0" w:color="auto"/>
            <w:left w:val="none" w:sz="0" w:space="0" w:color="auto"/>
            <w:bottom w:val="none" w:sz="0" w:space="0" w:color="auto"/>
            <w:right w:val="none" w:sz="0" w:space="0" w:color="auto"/>
          </w:divBdr>
        </w:div>
        <w:div w:id="1340963561">
          <w:marLeft w:val="0"/>
          <w:marRight w:val="0"/>
          <w:marTop w:val="0"/>
          <w:marBottom w:val="0"/>
          <w:divBdr>
            <w:top w:val="none" w:sz="0" w:space="0" w:color="auto"/>
            <w:left w:val="none" w:sz="0" w:space="0" w:color="auto"/>
            <w:bottom w:val="none" w:sz="0" w:space="0" w:color="auto"/>
            <w:right w:val="none" w:sz="0" w:space="0" w:color="auto"/>
          </w:divBdr>
        </w:div>
        <w:div w:id="1717046161">
          <w:marLeft w:val="0"/>
          <w:marRight w:val="0"/>
          <w:marTop w:val="0"/>
          <w:marBottom w:val="0"/>
          <w:divBdr>
            <w:top w:val="none" w:sz="0" w:space="0" w:color="auto"/>
            <w:left w:val="none" w:sz="0" w:space="0" w:color="auto"/>
            <w:bottom w:val="none" w:sz="0" w:space="0" w:color="auto"/>
            <w:right w:val="none" w:sz="0" w:space="0" w:color="auto"/>
          </w:divBdr>
        </w:div>
        <w:div w:id="846553524">
          <w:marLeft w:val="0"/>
          <w:marRight w:val="0"/>
          <w:marTop w:val="0"/>
          <w:marBottom w:val="0"/>
          <w:divBdr>
            <w:top w:val="none" w:sz="0" w:space="0" w:color="auto"/>
            <w:left w:val="none" w:sz="0" w:space="0" w:color="auto"/>
            <w:bottom w:val="none" w:sz="0" w:space="0" w:color="auto"/>
            <w:right w:val="none" w:sz="0" w:space="0" w:color="auto"/>
          </w:divBdr>
        </w:div>
        <w:div w:id="1519657437">
          <w:marLeft w:val="0"/>
          <w:marRight w:val="0"/>
          <w:marTop w:val="0"/>
          <w:marBottom w:val="0"/>
          <w:divBdr>
            <w:top w:val="none" w:sz="0" w:space="0" w:color="auto"/>
            <w:left w:val="none" w:sz="0" w:space="0" w:color="auto"/>
            <w:bottom w:val="none" w:sz="0" w:space="0" w:color="auto"/>
            <w:right w:val="none" w:sz="0" w:space="0" w:color="auto"/>
          </w:divBdr>
        </w:div>
        <w:div w:id="1933466866">
          <w:marLeft w:val="0"/>
          <w:marRight w:val="0"/>
          <w:marTop w:val="0"/>
          <w:marBottom w:val="0"/>
          <w:divBdr>
            <w:top w:val="none" w:sz="0" w:space="0" w:color="auto"/>
            <w:left w:val="none" w:sz="0" w:space="0" w:color="auto"/>
            <w:bottom w:val="none" w:sz="0" w:space="0" w:color="auto"/>
            <w:right w:val="none" w:sz="0" w:space="0" w:color="auto"/>
          </w:divBdr>
        </w:div>
        <w:div w:id="1446853328">
          <w:marLeft w:val="0"/>
          <w:marRight w:val="0"/>
          <w:marTop w:val="0"/>
          <w:marBottom w:val="0"/>
          <w:divBdr>
            <w:top w:val="none" w:sz="0" w:space="0" w:color="auto"/>
            <w:left w:val="none" w:sz="0" w:space="0" w:color="auto"/>
            <w:bottom w:val="none" w:sz="0" w:space="0" w:color="auto"/>
            <w:right w:val="none" w:sz="0" w:space="0" w:color="auto"/>
          </w:divBdr>
        </w:div>
        <w:div w:id="1241404607">
          <w:marLeft w:val="0"/>
          <w:marRight w:val="0"/>
          <w:marTop w:val="0"/>
          <w:marBottom w:val="0"/>
          <w:divBdr>
            <w:top w:val="none" w:sz="0" w:space="0" w:color="auto"/>
            <w:left w:val="none" w:sz="0" w:space="0" w:color="auto"/>
            <w:bottom w:val="none" w:sz="0" w:space="0" w:color="auto"/>
            <w:right w:val="none" w:sz="0" w:space="0" w:color="auto"/>
          </w:divBdr>
        </w:div>
        <w:div w:id="1127771422">
          <w:marLeft w:val="0"/>
          <w:marRight w:val="0"/>
          <w:marTop w:val="0"/>
          <w:marBottom w:val="0"/>
          <w:divBdr>
            <w:top w:val="none" w:sz="0" w:space="0" w:color="auto"/>
            <w:left w:val="none" w:sz="0" w:space="0" w:color="auto"/>
            <w:bottom w:val="none" w:sz="0" w:space="0" w:color="auto"/>
            <w:right w:val="none" w:sz="0" w:space="0" w:color="auto"/>
          </w:divBdr>
        </w:div>
        <w:div w:id="1158688989">
          <w:marLeft w:val="0"/>
          <w:marRight w:val="0"/>
          <w:marTop w:val="0"/>
          <w:marBottom w:val="0"/>
          <w:divBdr>
            <w:top w:val="none" w:sz="0" w:space="0" w:color="auto"/>
            <w:left w:val="none" w:sz="0" w:space="0" w:color="auto"/>
            <w:bottom w:val="none" w:sz="0" w:space="0" w:color="auto"/>
            <w:right w:val="none" w:sz="0" w:space="0" w:color="auto"/>
          </w:divBdr>
        </w:div>
        <w:div w:id="711614167">
          <w:marLeft w:val="0"/>
          <w:marRight w:val="0"/>
          <w:marTop w:val="0"/>
          <w:marBottom w:val="0"/>
          <w:divBdr>
            <w:top w:val="none" w:sz="0" w:space="0" w:color="auto"/>
            <w:left w:val="none" w:sz="0" w:space="0" w:color="auto"/>
            <w:bottom w:val="none" w:sz="0" w:space="0" w:color="auto"/>
            <w:right w:val="none" w:sz="0" w:space="0" w:color="auto"/>
          </w:divBdr>
        </w:div>
        <w:div w:id="17590856">
          <w:marLeft w:val="0"/>
          <w:marRight w:val="0"/>
          <w:marTop w:val="0"/>
          <w:marBottom w:val="0"/>
          <w:divBdr>
            <w:top w:val="none" w:sz="0" w:space="0" w:color="auto"/>
            <w:left w:val="none" w:sz="0" w:space="0" w:color="auto"/>
            <w:bottom w:val="none" w:sz="0" w:space="0" w:color="auto"/>
            <w:right w:val="none" w:sz="0" w:space="0" w:color="auto"/>
          </w:divBdr>
        </w:div>
        <w:div w:id="2068335425">
          <w:marLeft w:val="0"/>
          <w:marRight w:val="0"/>
          <w:marTop w:val="0"/>
          <w:marBottom w:val="0"/>
          <w:divBdr>
            <w:top w:val="none" w:sz="0" w:space="0" w:color="auto"/>
            <w:left w:val="none" w:sz="0" w:space="0" w:color="auto"/>
            <w:bottom w:val="none" w:sz="0" w:space="0" w:color="auto"/>
            <w:right w:val="none" w:sz="0" w:space="0" w:color="auto"/>
          </w:divBdr>
        </w:div>
        <w:div w:id="503934092">
          <w:marLeft w:val="0"/>
          <w:marRight w:val="0"/>
          <w:marTop w:val="0"/>
          <w:marBottom w:val="0"/>
          <w:divBdr>
            <w:top w:val="none" w:sz="0" w:space="0" w:color="auto"/>
            <w:left w:val="none" w:sz="0" w:space="0" w:color="auto"/>
            <w:bottom w:val="none" w:sz="0" w:space="0" w:color="auto"/>
            <w:right w:val="none" w:sz="0" w:space="0" w:color="auto"/>
          </w:divBdr>
        </w:div>
        <w:div w:id="1519350512">
          <w:marLeft w:val="0"/>
          <w:marRight w:val="0"/>
          <w:marTop w:val="0"/>
          <w:marBottom w:val="0"/>
          <w:divBdr>
            <w:top w:val="none" w:sz="0" w:space="0" w:color="auto"/>
            <w:left w:val="none" w:sz="0" w:space="0" w:color="auto"/>
            <w:bottom w:val="none" w:sz="0" w:space="0" w:color="auto"/>
            <w:right w:val="none" w:sz="0" w:space="0" w:color="auto"/>
          </w:divBdr>
        </w:div>
        <w:div w:id="369307800">
          <w:marLeft w:val="0"/>
          <w:marRight w:val="0"/>
          <w:marTop w:val="0"/>
          <w:marBottom w:val="0"/>
          <w:divBdr>
            <w:top w:val="none" w:sz="0" w:space="0" w:color="auto"/>
            <w:left w:val="none" w:sz="0" w:space="0" w:color="auto"/>
            <w:bottom w:val="none" w:sz="0" w:space="0" w:color="auto"/>
            <w:right w:val="none" w:sz="0" w:space="0" w:color="auto"/>
          </w:divBdr>
        </w:div>
        <w:div w:id="1528710353">
          <w:marLeft w:val="0"/>
          <w:marRight w:val="0"/>
          <w:marTop w:val="0"/>
          <w:marBottom w:val="0"/>
          <w:divBdr>
            <w:top w:val="none" w:sz="0" w:space="0" w:color="auto"/>
            <w:left w:val="none" w:sz="0" w:space="0" w:color="auto"/>
            <w:bottom w:val="none" w:sz="0" w:space="0" w:color="auto"/>
            <w:right w:val="none" w:sz="0" w:space="0" w:color="auto"/>
          </w:divBdr>
        </w:div>
        <w:div w:id="620646369">
          <w:marLeft w:val="0"/>
          <w:marRight w:val="0"/>
          <w:marTop w:val="0"/>
          <w:marBottom w:val="0"/>
          <w:divBdr>
            <w:top w:val="none" w:sz="0" w:space="0" w:color="auto"/>
            <w:left w:val="none" w:sz="0" w:space="0" w:color="auto"/>
            <w:bottom w:val="none" w:sz="0" w:space="0" w:color="auto"/>
            <w:right w:val="none" w:sz="0" w:space="0" w:color="auto"/>
          </w:divBdr>
        </w:div>
        <w:div w:id="367268314">
          <w:marLeft w:val="0"/>
          <w:marRight w:val="0"/>
          <w:marTop w:val="0"/>
          <w:marBottom w:val="0"/>
          <w:divBdr>
            <w:top w:val="none" w:sz="0" w:space="0" w:color="auto"/>
            <w:left w:val="none" w:sz="0" w:space="0" w:color="auto"/>
            <w:bottom w:val="none" w:sz="0" w:space="0" w:color="auto"/>
            <w:right w:val="none" w:sz="0" w:space="0" w:color="auto"/>
          </w:divBdr>
        </w:div>
        <w:div w:id="1773741081">
          <w:marLeft w:val="0"/>
          <w:marRight w:val="0"/>
          <w:marTop w:val="0"/>
          <w:marBottom w:val="0"/>
          <w:divBdr>
            <w:top w:val="none" w:sz="0" w:space="0" w:color="auto"/>
            <w:left w:val="none" w:sz="0" w:space="0" w:color="auto"/>
            <w:bottom w:val="none" w:sz="0" w:space="0" w:color="auto"/>
            <w:right w:val="none" w:sz="0" w:space="0" w:color="auto"/>
          </w:divBdr>
        </w:div>
        <w:div w:id="1871525855">
          <w:marLeft w:val="0"/>
          <w:marRight w:val="0"/>
          <w:marTop w:val="0"/>
          <w:marBottom w:val="0"/>
          <w:divBdr>
            <w:top w:val="none" w:sz="0" w:space="0" w:color="auto"/>
            <w:left w:val="none" w:sz="0" w:space="0" w:color="auto"/>
            <w:bottom w:val="none" w:sz="0" w:space="0" w:color="auto"/>
            <w:right w:val="none" w:sz="0" w:space="0" w:color="auto"/>
          </w:divBdr>
        </w:div>
        <w:div w:id="259147720">
          <w:marLeft w:val="0"/>
          <w:marRight w:val="0"/>
          <w:marTop w:val="0"/>
          <w:marBottom w:val="0"/>
          <w:divBdr>
            <w:top w:val="none" w:sz="0" w:space="0" w:color="auto"/>
            <w:left w:val="none" w:sz="0" w:space="0" w:color="auto"/>
            <w:bottom w:val="none" w:sz="0" w:space="0" w:color="auto"/>
            <w:right w:val="none" w:sz="0" w:space="0" w:color="auto"/>
          </w:divBdr>
        </w:div>
        <w:div w:id="1340619668">
          <w:marLeft w:val="0"/>
          <w:marRight w:val="0"/>
          <w:marTop w:val="0"/>
          <w:marBottom w:val="0"/>
          <w:divBdr>
            <w:top w:val="none" w:sz="0" w:space="0" w:color="auto"/>
            <w:left w:val="none" w:sz="0" w:space="0" w:color="auto"/>
            <w:bottom w:val="none" w:sz="0" w:space="0" w:color="auto"/>
            <w:right w:val="none" w:sz="0" w:space="0" w:color="auto"/>
          </w:divBdr>
        </w:div>
        <w:div w:id="9707887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aussen.eu/cs/2015/10/15/motto/index.htm" TargetMode="External"/><Relationship Id="rId21" Type="http://schemas.openxmlformats.org/officeDocument/2006/relationships/hyperlink" Target="http://www.maussen.eu/cs/category/spoluucast/index.htm" TargetMode="External"/><Relationship Id="rId42" Type="http://schemas.openxmlformats.org/officeDocument/2006/relationships/hyperlink" Target="http://www.maussen.eu/cs/2016/02/19/prezentace-zamestnanecka-participace/index.htm" TargetMode="External"/><Relationship Id="rId47" Type="http://schemas.openxmlformats.org/officeDocument/2006/relationships/hyperlink" Target="http://www.maussen.eu/cs/2015/10/15/motto/index.htm" TargetMode="External"/><Relationship Id="rId63" Type="http://schemas.openxmlformats.org/officeDocument/2006/relationships/hyperlink" Target="http://www.maussen.eu/cs/2015/10/15/1-2-ceska-republika-a-financni-spoluucast-zamestnancu/index.htm" TargetMode="External"/><Relationship Id="rId68" Type="http://schemas.openxmlformats.org/officeDocument/2006/relationships/hyperlink" Target="http://www.maussen.eu/cs/2015/10/15/1-2-ceska-republika-a-financni-spoluucast-zamestnancu/index.htm" TargetMode="External"/><Relationship Id="rId84" Type="http://schemas.openxmlformats.org/officeDocument/2006/relationships/hyperlink" Target="http://www.maussen.eu/cs/category/mytus/index.htm" TargetMode="External"/><Relationship Id="rId89" Type="http://schemas.openxmlformats.org/officeDocument/2006/relationships/hyperlink" Target="http://www.maussen.eu/cs/2015/10/15/2-2-zpravy-pepper-vypracovane-z-povereni-evropske-komise-2-2-2-vysledky-v-ceske-republice-stagnace/index.htm" TargetMode="External"/><Relationship Id="rId2" Type="http://schemas.openxmlformats.org/officeDocument/2006/relationships/styles" Target="styles.xml"/><Relationship Id="rId16" Type="http://schemas.openxmlformats.org/officeDocument/2006/relationships/hyperlink" Target="http://www.maussen.eu/cs/2015/10/15/3-2-mondragonska-druzstevni-korporace-mcc-3-2-4-klicove-znaky-mondragonske-druzstevni-praxe/index.htm" TargetMode="External"/><Relationship Id="rId29" Type="http://schemas.openxmlformats.org/officeDocument/2006/relationships/hyperlink" Target="http://www.maussen.eu/cs/2015/10/15/motto/index.htm" TargetMode="External"/><Relationship Id="rId107" Type="http://schemas.openxmlformats.org/officeDocument/2006/relationships/hyperlink" Target="http://www.tullis-russell.co.uk/group/about/" TargetMode="External"/><Relationship Id="rId11" Type="http://schemas.openxmlformats.org/officeDocument/2006/relationships/hyperlink" Target="http://www.maussen.eu/cs/2015/10/15/3-2-mondragonska-druzstevni-korporace-mcc-3-2-3-struktura-site-mondragoru/index.htm" TargetMode="External"/><Relationship Id="rId24" Type="http://schemas.openxmlformats.org/officeDocument/2006/relationships/hyperlink" Target="http://www.maussen.eu/cs/2015/10/15/3-1-popis-baskicka/index.htm" TargetMode="External"/><Relationship Id="rId32" Type="http://schemas.openxmlformats.org/officeDocument/2006/relationships/hyperlink" Target="http://www.maussen.eu/cs/category/spoluucast/index.htm" TargetMode="External"/><Relationship Id="rId37" Type="http://schemas.openxmlformats.org/officeDocument/2006/relationships/hyperlink" Target="http://www.maussen.eu/cs/2016/02/19/prezentace-zamestnanecka-participace/index.htm" TargetMode="External"/><Relationship Id="rId40" Type="http://schemas.openxmlformats.org/officeDocument/2006/relationships/hyperlink" Target="http://www.maussen.eu/cs/wp-content/uploads/sites/2/2016/02/Finan%C4%8Dn%C3%AD-spolu%C3%BA%C4%8Dast-zam%C4%9Bstnanc%C5%AF-FSZ-Sou%C4%8Dasn%C3%A9-evropsk%C3%A9-iniciativy.pptx" TargetMode="External"/><Relationship Id="rId45" Type="http://schemas.openxmlformats.org/officeDocument/2006/relationships/hyperlink" Target="http://www.maussen.eu/cs/category/spoluucast/index.htm" TargetMode="External"/><Relationship Id="rId53" Type="http://schemas.openxmlformats.org/officeDocument/2006/relationships/hyperlink" Target="http://www.maussen.eu/cs/category/mytus/index.htm" TargetMode="External"/><Relationship Id="rId58" Type="http://schemas.openxmlformats.org/officeDocument/2006/relationships/hyperlink" Target="http://www.maussen.eu/cs/category/mytus/index.htm" TargetMode="External"/><Relationship Id="rId66" Type="http://schemas.openxmlformats.org/officeDocument/2006/relationships/hyperlink" Target="http://www.maussen.eu/cs/category/mytus/index.htm" TargetMode="External"/><Relationship Id="rId74" Type="http://schemas.openxmlformats.org/officeDocument/2006/relationships/hyperlink" Target="http://www.maussen.eu/cs/category/mytus/index.htm" TargetMode="External"/><Relationship Id="rId79" Type="http://schemas.openxmlformats.org/officeDocument/2006/relationships/hyperlink" Target="http://www.maussen.eu/cs/category/mytus/index.htm" TargetMode="External"/><Relationship Id="rId87" Type="http://schemas.openxmlformats.org/officeDocument/2006/relationships/hyperlink" Target="http://www.maussen.eu/cs/2015/10/15/2-2-zpravy-pepper-vypracovane-z-povereni-evropske-komise-2-2-1-vysledky-v-evrope-pozitivni-dynamika-fsz/index.htm" TargetMode="External"/><Relationship Id="rId102" Type="http://schemas.openxmlformats.org/officeDocument/2006/relationships/hyperlink" Target="http://www.homag.com/de-de/career/Seiten/mitarbeiterkapitalbeteiligung.aspx" TargetMode="External"/><Relationship Id="rId110" Type="http://schemas.openxmlformats.org/officeDocument/2006/relationships/fontTable" Target="fontTable.xml"/><Relationship Id="rId5" Type="http://schemas.openxmlformats.org/officeDocument/2006/relationships/image" Target="media/image1.jpeg"/><Relationship Id="rId61" Type="http://schemas.openxmlformats.org/officeDocument/2006/relationships/hyperlink" Target="http://www.maussen.eu/cs/2015/10/15/1-1-evropska-unie-a-financni-spoluucast-zamestnancu/index.htm" TargetMode="External"/><Relationship Id="rId82" Type="http://schemas.openxmlformats.org/officeDocument/2006/relationships/hyperlink" Target="http://www.maussen.eu/cs/2015/10/15/2-2-zpravy-pepper-vypracovane-z-povereni-evropske-komise-2-2-1-vysledky-v-evrope-pozitivni-dynamika-fsz/index.htm" TargetMode="External"/><Relationship Id="rId90" Type="http://schemas.openxmlformats.org/officeDocument/2006/relationships/hyperlink" Target="http://www.maussen.eu/cs/category/spoluucast/index.htm" TargetMode="External"/><Relationship Id="rId95" Type="http://schemas.openxmlformats.org/officeDocument/2006/relationships/hyperlink" Target="http://www.maussen.eu/cs/category/spoluucast/index.htm" TargetMode="External"/><Relationship Id="rId19" Type="http://schemas.openxmlformats.org/officeDocument/2006/relationships/image" Target="media/image2.jpeg"/><Relationship Id="rId14" Type="http://schemas.openxmlformats.org/officeDocument/2006/relationships/hyperlink" Target="http://www.maussen.eu/cs/category/spoluucast/index.htm" TargetMode="External"/><Relationship Id="rId22" Type="http://schemas.openxmlformats.org/officeDocument/2006/relationships/hyperlink" Target="http://www.maussen.eu/cs/category/mytus/index.htm" TargetMode="External"/><Relationship Id="rId27" Type="http://schemas.openxmlformats.org/officeDocument/2006/relationships/hyperlink" Target="http://www.maussen.eu/cs/category/spoluucast/index.htm" TargetMode="External"/><Relationship Id="rId30" Type="http://schemas.openxmlformats.org/officeDocument/2006/relationships/hyperlink" Target="http://www.maussen.eu/cs/2015/10/15/1-uvodni-slovo/index.htm" TargetMode="External"/><Relationship Id="rId35" Type="http://schemas.openxmlformats.org/officeDocument/2006/relationships/hyperlink" Target="http://www.maussen.eu/cs/category/spoluucast/index.htm" TargetMode="External"/><Relationship Id="rId43" Type="http://schemas.openxmlformats.org/officeDocument/2006/relationships/hyperlink" Target="http://www.maussen.eu/cs/2015/10/15/motto/index.htm" TargetMode="External"/><Relationship Id="rId48" Type="http://schemas.openxmlformats.org/officeDocument/2006/relationships/hyperlink" Target="http://www.maussen.eu/cs/2015/10/15/1-uvodni-slovo/index.htm" TargetMode="External"/><Relationship Id="rId56" Type="http://schemas.openxmlformats.org/officeDocument/2006/relationships/hyperlink" Target="http://www.maussen.eu/cs/2015/10/15/1-1-evropska-unie-a-financni-spoluucast-zamestnancu/index.htm" TargetMode="External"/><Relationship Id="rId64" Type="http://schemas.openxmlformats.org/officeDocument/2006/relationships/hyperlink" Target="http://www.maussen.eu/cs/category/spoluucast/index.htm" TargetMode="External"/><Relationship Id="rId69" Type="http://schemas.openxmlformats.org/officeDocument/2006/relationships/hyperlink" Target="http://www.maussen.eu/cs/2015/10/15/2-financni-spoluucast-zamestnancu-v-evrope-a-ceske-republice/index.htm" TargetMode="External"/><Relationship Id="rId77" Type="http://schemas.openxmlformats.org/officeDocument/2006/relationships/hyperlink" Target="http://www.maussen.eu/cs/2015/10/15/2-1-zavery-a-doporuceni-k-fsz-v-evrope/index.htm" TargetMode="External"/><Relationship Id="rId100" Type="http://schemas.openxmlformats.org/officeDocument/2006/relationships/hyperlink" Target="http://www.maussen.eu/cs/category/mytus/index.htm" TargetMode="External"/><Relationship Id="rId105" Type="http://schemas.openxmlformats.org/officeDocument/2006/relationships/hyperlink" Target="http://www.handelsbanken.se/shb/inet/icentsv.nsf/vlookuppics/investor_relations_en_hb_09_eng_ar_rev/$file/hb09eng_medfoto.pdf" TargetMode="External"/><Relationship Id="rId8" Type="http://schemas.openxmlformats.org/officeDocument/2006/relationships/hyperlink" Target="http://www.maussen.eu/cs/2015/10/15/3-2-mondragonska-druzstevni-korporace-mcc-3-2-2-mondragonska-druzstva-aktualni-velikost-a-rozsah/index.htm" TargetMode="External"/><Relationship Id="rId51" Type="http://schemas.openxmlformats.org/officeDocument/2006/relationships/hyperlink" Target="http://www.maussen.eu/cs/category/mytus/index.htm" TargetMode="External"/><Relationship Id="rId72" Type="http://schemas.openxmlformats.org/officeDocument/2006/relationships/hyperlink" Target="http://www.maussen.eu/cs/category/mytus/index.htm" TargetMode="External"/><Relationship Id="rId80" Type="http://schemas.openxmlformats.org/officeDocument/2006/relationships/hyperlink" Target="http://www.maussen.eu/cs/2015/10/15/2-1-zavery-a-doporuceni-k-fsz-v-evrope/index.htm" TargetMode="External"/><Relationship Id="rId85" Type="http://schemas.openxmlformats.org/officeDocument/2006/relationships/hyperlink" Target="http://www.maussen.eu/cs/category/mytus/index.htm" TargetMode="External"/><Relationship Id="rId93" Type="http://schemas.openxmlformats.org/officeDocument/2006/relationships/hyperlink" Target="http://www.maussen.eu/cs/2015/10/15/2-3-vyhody-fsz-pro-podniky-a-zamestnance/index.htm" TargetMode="External"/><Relationship Id="rId98" Type="http://schemas.openxmlformats.org/officeDocument/2006/relationships/hyperlink" Target="http://www.maussen.eu/cs/category/mytus/index.htm" TargetMode="External"/><Relationship Id="rId3" Type="http://schemas.openxmlformats.org/officeDocument/2006/relationships/settings" Target="settings.xml"/><Relationship Id="rId12" Type="http://schemas.openxmlformats.org/officeDocument/2006/relationships/hyperlink" Target="http://www.maussen.eu/cs/2015/10/15/3-2-mondragonska-druzstevni-korporace-mcc-3-2-1-historicky-vyvoj-mondragonskych-druzstev-a-otec-arizmendiarrieta/index.htm" TargetMode="External"/><Relationship Id="rId17" Type="http://schemas.openxmlformats.org/officeDocument/2006/relationships/hyperlink" Target="http://www.maussen.eu/cs/2015/10/15/3-2-mondragonska-druzstevni-korporace-mcc-3-2-2-mondragonska-druzstva-aktualni-velikost-a-rozsah/index.htm" TargetMode="External"/><Relationship Id="rId25" Type="http://schemas.openxmlformats.org/officeDocument/2006/relationships/hyperlink" Target="http://www.maussen.eu/cs/2015/10/15/motto/index.htm" TargetMode="External"/><Relationship Id="rId33" Type="http://schemas.openxmlformats.org/officeDocument/2006/relationships/hyperlink" Target="http://www.maussen.eu/cs/category/mytus/index.htm" TargetMode="External"/><Relationship Id="rId38" Type="http://schemas.openxmlformats.org/officeDocument/2006/relationships/hyperlink" Target="http://www.maussen.eu/cs/category/mytus/index.htm" TargetMode="External"/><Relationship Id="rId46" Type="http://schemas.openxmlformats.org/officeDocument/2006/relationships/hyperlink" Target="http://www.maussen.eu/cs/category/mytus/index.htm" TargetMode="External"/><Relationship Id="rId59" Type="http://schemas.openxmlformats.org/officeDocument/2006/relationships/hyperlink" Target="http://www.maussen.eu/cs/category/mytus/index.htm" TargetMode="External"/><Relationship Id="rId67" Type="http://schemas.openxmlformats.org/officeDocument/2006/relationships/hyperlink" Target="http://www.maussen.eu/cs/category/mytus/index.htm" TargetMode="External"/><Relationship Id="rId103" Type="http://schemas.openxmlformats.org/officeDocument/2006/relationships/hyperlink" Target="http://www.netz-bund.de/pages/mitarbges.pdf" TargetMode="External"/><Relationship Id="rId108" Type="http://schemas.openxmlformats.org/officeDocument/2006/relationships/hyperlink" Target="http://www.esop.eircom.ie/" TargetMode="External"/><Relationship Id="rId20" Type="http://schemas.openxmlformats.org/officeDocument/2006/relationships/hyperlink" Target="http://www.maussen.eu/cs/2015/10/15/3-2-mondragonska-druzstevni-korporace-mcc-3-2-1-historicky-vyvoj-mondragonskych-druzstev-a-otec-arizmendiarrieta/index.htm" TargetMode="External"/><Relationship Id="rId41" Type="http://schemas.openxmlformats.org/officeDocument/2006/relationships/hyperlink" Target="http://www.maussen.eu/cs/wp-content/uploads/sites/2/2016/02/MONDRAGON-P%C5%99%C3%ADklad-dobr%C3%A9-praxe.pptx" TargetMode="External"/><Relationship Id="rId54" Type="http://schemas.openxmlformats.org/officeDocument/2006/relationships/hyperlink" Target="http://www.maussen.eu/cs/2015/10/15/1-uvodni-slovo/index.htm" TargetMode="External"/><Relationship Id="rId62" Type="http://schemas.openxmlformats.org/officeDocument/2006/relationships/hyperlink" Target="http://www.maussen.eu/cs/2015/10/15/1-2-ceska-republika-a-financni-spoluucast-zamestnancu/index.htm" TargetMode="External"/><Relationship Id="rId70" Type="http://schemas.openxmlformats.org/officeDocument/2006/relationships/hyperlink" Target="http://www.maussen.eu/cs/2015/10/15/2-financni-spoluucast-zamestnancu-v-evrope-a-ceske-republice/index.htm" TargetMode="External"/><Relationship Id="rId75" Type="http://schemas.openxmlformats.org/officeDocument/2006/relationships/hyperlink" Target="http://www.maussen.eu/cs/2015/10/15/2-financni-spoluucast-zamestnancu-v-evrope-a-ceske-republice/index.htm" TargetMode="External"/><Relationship Id="rId83" Type="http://schemas.openxmlformats.org/officeDocument/2006/relationships/hyperlink" Target="http://www.maussen.eu/cs/category/spoluucast/index.htm" TargetMode="External"/><Relationship Id="rId88" Type="http://schemas.openxmlformats.org/officeDocument/2006/relationships/hyperlink" Target="http://www.maussen.eu/cs/2015/10/15/2-2-zpravy-pepper-vypracovane-z-povereni-evropske-komise-2-2-2-vysledky-v-ceske-republice-stagnace/index.htm" TargetMode="External"/><Relationship Id="rId91" Type="http://schemas.openxmlformats.org/officeDocument/2006/relationships/hyperlink" Target="http://www.maussen.eu/cs/category/mytus/index.htm" TargetMode="External"/><Relationship Id="rId96" Type="http://schemas.openxmlformats.org/officeDocument/2006/relationships/hyperlink" Target="http://www.maussen.eu/cs/category/mytus/index.htm" TargetMode="External"/><Relationship Id="rId11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facebook.com/pracujucaChudoba/videos/4213539075402230" TargetMode="External"/><Relationship Id="rId15" Type="http://schemas.openxmlformats.org/officeDocument/2006/relationships/hyperlink" Target="http://www.maussen.eu/cs/category/mytus/index.htm" TargetMode="External"/><Relationship Id="rId23" Type="http://schemas.openxmlformats.org/officeDocument/2006/relationships/hyperlink" Target="http://www.maussen.eu/cs/2015/10/15/3-2-mondragonska-druzstevni-korporace-mcc-3-2-2-mondragonska-druzstva-aktualni-velikost-a-rozsah/index.htm" TargetMode="External"/><Relationship Id="rId28" Type="http://schemas.openxmlformats.org/officeDocument/2006/relationships/hyperlink" Target="http://www.maussen.eu/cs/category/mytus/index.htm" TargetMode="External"/><Relationship Id="rId36" Type="http://schemas.openxmlformats.org/officeDocument/2006/relationships/hyperlink" Target="http://www.maussen.eu/cs/2016/02/19/prezentace-zamestnanecka-participace/index.htm" TargetMode="External"/><Relationship Id="rId49" Type="http://schemas.openxmlformats.org/officeDocument/2006/relationships/hyperlink" Target="http://www.maussen.eu/cs/2015/10/15/1-uvodni-slovo/index.htm" TargetMode="External"/><Relationship Id="rId57" Type="http://schemas.openxmlformats.org/officeDocument/2006/relationships/hyperlink" Target="http://www.maussen.eu/cs/category/spoluucast/index.htm" TargetMode="External"/><Relationship Id="rId106" Type="http://schemas.openxmlformats.org/officeDocument/2006/relationships/hyperlink" Target="http://www.herend.com/en/manufactory/story/" TargetMode="External"/><Relationship Id="rId10" Type="http://schemas.openxmlformats.org/officeDocument/2006/relationships/hyperlink" Target="http://www.maussen.eu/cs/category/mytus/index.htm" TargetMode="External"/><Relationship Id="rId31" Type="http://schemas.openxmlformats.org/officeDocument/2006/relationships/hyperlink" Target="http://www.maussen.eu/cs/2015/10/15/1-uvodni-slovo/index.htm" TargetMode="External"/><Relationship Id="rId44" Type="http://schemas.openxmlformats.org/officeDocument/2006/relationships/hyperlink" Target="http://www.maussen.eu/cs/2015/10/15/motto/index.htm" TargetMode="External"/><Relationship Id="rId52" Type="http://schemas.openxmlformats.org/officeDocument/2006/relationships/hyperlink" Target="http://www.maussen.eu/cs/category/mytus/index.htm" TargetMode="External"/><Relationship Id="rId60" Type="http://schemas.openxmlformats.org/officeDocument/2006/relationships/hyperlink" Target="http://www.maussen.eu/cs/category/mytus/index.htm" TargetMode="External"/><Relationship Id="rId65" Type="http://schemas.openxmlformats.org/officeDocument/2006/relationships/hyperlink" Target="http://www.maussen.eu/cs/category/mytus/index.htm" TargetMode="External"/><Relationship Id="rId73" Type="http://schemas.openxmlformats.org/officeDocument/2006/relationships/hyperlink" Target="http://www.maussen.eu/cs/category/mytus/index.htm" TargetMode="External"/><Relationship Id="rId78" Type="http://schemas.openxmlformats.org/officeDocument/2006/relationships/hyperlink" Target="http://www.maussen.eu/cs/category/spoluucast/index.htm" TargetMode="External"/><Relationship Id="rId81" Type="http://schemas.openxmlformats.org/officeDocument/2006/relationships/hyperlink" Target="http://www.maussen.eu/cs/2015/10/15/2-2-zpravy-pepper-vypracovane-z-povereni-evropske-komise-2-2-1-vysledky-v-evrope-pozitivni-dynamika-fsz/index.htm" TargetMode="External"/><Relationship Id="rId86" Type="http://schemas.openxmlformats.org/officeDocument/2006/relationships/hyperlink" Target="http://www.maussen.eu/cs/category/mytus/index.htm" TargetMode="External"/><Relationship Id="rId94" Type="http://schemas.openxmlformats.org/officeDocument/2006/relationships/hyperlink" Target="http://www.maussen.eu/cs/2015/10/15/2-3-vyhody-fsz-pro-podniky-a-zamestnance/index.htm" TargetMode="External"/><Relationship Id="rId99" Type="http://schemas.openxmlformats.org/officeDocument/2006/relationships/hyperlink" Target="http://www.maussen.eu/cs/category/mytus/index.htm" TargetMode="External"/><Relationship Id="rId101" Type="http://schemas.openxmlformats.org/officeDocument/2006/relationships/hyperlink" Target="http://www.groupe-auchan.com/emploi.html" TargetMode="External"/><Relationship Id="rId4" Type="http://schemas.openxmlformats.org/officeDocument/2006/relationships/webSettings" Target="webSettings.xml"/><Relationship Id="rId9" Type="http://schemas.openxmlformats.org/officeDocument/2006/relationships/hyperlink" Target="http://www.maussen.eu/cs/category/spoluucast/index.htm" TargetMode="External"/><Relationship Id="rId13" Type="http://schemas.openxmlformats.org/officeDocument/2006/relationships/hyperlink" Target="http://www.maussen.eu/cs/2015/10/15/3-2-mondragonska-druzstevni-korporace-mcc-3-2-3-struktura-site-mondragoru/index.htm" TargetMode="External"/><Relationship Id="rId18" Type="http://schemas.openxmlformats.org/officeDocument/2006/relationships/hyperlink" Target="http://www.maussen.eu/cs/wp-content/uploads/sites/2/2015/10/Mondragon-Network-Structure.jpg" TargetMode="External"/><Relationship Id="rId39" Type="http://schemas.openxmlformats.org/officeDocument/2006/relationships/hyperlink" Target="http://www.maussen.eu/cs/tag/prezentace/index.htm" TargetMode="External"/><Relationship Id="rId109" Type="http://schemas.openxmlformats.org/officeDocument/2006/relationships/hyperlink" Target="http://www.aerlingus.com/aboutus/investorrelations/shareregister/" TargetMode="External"/><Relationship Id="rId34" Type="http://schemas.openxmlformats.org/officeDocument/2006/relationships/hyperlink" Target="http://www.maussen.eu/cs/category/spoluucast/index.htm" TargetMode="External"/><Relationship Id="rId50" Type="http://schemas.openxmlformats.org/officeDocument/2006/relationships/hyperlink" Target="http://www.maussen.eu/cs/category/spoluucast/index.htm" TargetMode="External"/><Relationship Id="rId55" Type="http://schemas.openxmlformats.org/officeDocument/2006/relationships/hyperlink" Target="http://www.maussen.eu/cs/2015/10/15/1-1-evropska-unie-a-financni-spoluucast-zamestnancu/index.htm" TargetMode="External"/><Relationship Id="rId76" Type="http://schemas.openxmlformats.org/officeDocument/2006/relationships/hyperlink" Target="http://www.maussen.eu/cs/2015/10/15/2-1-zavery-a-doporuceni-k-fsz-v-evrope/index.htm" TargetMode="External"/><Relationship Id="rId97" Type="http://schemas.openxmlformats.org/officeDocument/2006/relationships/hyperlink" Target="http://www.maussen.eu/cs/category/mytus/index.htm" TargetMode="External"/><Relationship Id="rId104" Type="http://schemas.openxmlformats.org/officeDocument/2006/relationships/hyperlink" Target="http://www.voestalpine.com/annualreport0809/en/management_report/employees.html" TargetMode="External"/><Relationship Id="rId7" Type="http://schemas.openxmlformats.org/officeDocument/2006/relationships/hyperlink" Target="https://0ef9b036-a463-454c-a590-2affb6613065.filesusr.com/ugd/bd7f2e_67c89466246d4ba3a6ffbb4320d3d2cf.pdf" TargetMode="External"/><Relationship Id="rId71" Type="http://schemas.openxmlformats.org/officeDocument/2006/relationships/hyperlink" Target="http://www.maussen.eu/cs/category/spoluucast/index.htm" TargetMode="External"/><Relationship Id="rId92" Type="http://schemas.openxmlformats.org/officeDocument/2006/relationships/hyperlink" Target="http://www.maussen.eu/cs/2015/10/15/2-2-zpravy-pepper-vypracovane-z-povereni-evropske-komise-2-2-2-vysledky-v-ceske-republice-stagnace/index.htm"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21</Pages>
  <Words>8830</Words>
  <Characters>50336</Characters>
  <Application>Microsoft Office Word</Application>
  <DocSecurity>0</DocSecurity>
  <Lines>419</Lines>
  <Paragraphs>118</Paragraphs>
  <ScaleCrop>false</ScaleCrop>
  <Company/>
  <LinksUpToDate>false</LinksUpToDate>
  <CharactersWithSpaces>59048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Rudo</dc:creator>
  <cp:keywords/>
  <dc:description/>
  <cp:lastModifiedBy>Rudo</cp:lastModifiedBy>
  <cp:revision>4</cp:revision>
  <dcterms:created xsi:type="dcterms:W3CDTF">2023-08-16T02:52:00Z</dcterms:created>
  <dcterms:modified xsi:type="dcterms:W3CDTF">2023-08-16T11:56:00Z</dcterms:modified>
</cp:coreProperties>
</file>